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22A" w:rsidRDefault="00201019">
      <w:pPr>
        <w:keepNext/>
        <w:keepLines/>
        <w:pBdr>
          <w:top w:val="nil"/>
          <w:left w:val="nil"/>
          <w:bottom w:val="nil"/>
          <w:right w:val="nil"/>
          <w:between w:val="nil"/>
        </w:pBdr>
        <w:spacing w:after="480"/>
        <w:jc w:val="center"/>
        <w:rPr>
          <w:b/>
          <w:bCs/>
          <w:color w:val="000000"/>
          <w:sz w:val="28"/>
          <w:szCs w:val="28"/>
        </w:rPr>
      </w:pPr>
      <w:r>
        <w:rPr>
          <w:b/>
          <w:bCs/>
          <w:color w:val="000000"/>
          <w:sz w:val="28"/>
          <w:szCs w:val="28"/>
        </w:rPr>
        <w:t>Título de la Contribución</w:t>
      </w:r>
    </w:p>
    <w:p w:rsidR="00AA522A" w:rsidRDefault="00201019">
      <w:pPr>
        <w:pBdr>
          <w:top w:val="nil"/>
          <w:left w:val="nil"/>
          <w:bottom w:val="nil"/>
          <w:right w:val="nil"/>
          <w:between w:val="nil"/>
        </w:pBdr>
        <w:spacing w:after="200"/>
        <w:jc w:val="center"/>
        <w:rPr>
          <w:color w:val="000000"/>
        </w:rPr>
      </w:pPr>
      <w:r>
        <w:rPr>
          <w:color w:val="000000"/>
        </w:rPr>
        <w:t>Primer Autor (nombre completo)</w:t>
      </w:r>
      <w:r>
        <w:rPr>
          <w:color w:val="000000"/>
          <w:vertAlign w:val="superscript"/>
        </w:rPr>
        <w:t>1[0000-1111-2222-3333]</w:t>
      </w:r>
      <w:r>
        <w:rPr>
          <w:color w:val="000000"/>
        </w:rPr>
        <w:t xml:space="preserve"> y Segundo Autor completo (nombre completo)</w:t>
      </w:r>
      <w:r>
        <w:rPr>
          <w:color w:val="000000"/>
          <w:vertAlign w:val="superscript"/>
        </w:rPr>
        <w:t>2[1111-2222-3333-4444]</w:t>
      </w:r>
    </w:p>
    <w:p w:rsidR="00AA522A" w:rsidRDefault="00201019">
      <w:pPr>
        <w:pBdr>
          <w:top w:val="nil"/>
          <w:left w:val="nil"/>
          <w:bottom w:val="nil"/>
          <w:right w:val="nil"/>
          <w:between w:val="nil"/>
        </w:pBdr>
        <w:spacing w:after="0"/>
        <w:jc w:val="center"/>
        <w:rPr>
          <w:color w:val="000000"/>
          <w:sz w:val="18"/>
          <w:szCs w:val="18"/>
        </w:rPr>
      </w:pPr>
      <w:r>
        <w:rPr>
          <w:color w:val="000000"/>
          <w:sz w:val="18"/>
          <w:szCs w:val="18"/>
          <w:vertAlign w:val="superscript"/>
        </w:rPr>
        <w:t>1</w:t>
      </w:r>
      <w:r>
        <w:rPr>
          <w:color w:val="000000"/>
          <w:sz w:val="18"/>
          <w:szCs w:val="18"/>
        </w:rPr>
        <w:t xml:space="preserve"> Centro de Ingeniería y Desarrollo Industrial, Pie de la cuesta 702, 76125 Querétaro, México</w:t>
      </w:r>
    </w:p>
    <w:p w:rsidR="00AA522A" w:rsidRDefault="00201019">
      <w:pPr>
        <w:pBdr>
          <w:top w:val="nil"/>
          <w:left w:val="nil"/>
          <w:bottom w:val="nil"/>
          <w:right w:val="nil"/>
          <w:between w:val="nil"/>
        </w:pBdr>
        <w:spacing w:after="0"/>
        <w:jc w:val="center"/>
        <w:rPr>
          <w:color w:val="000000"/>
          <w:sz w:val="18"/>
          <w:szCs w:val="18"/>
        </w:rPr>
      </w:pPr>
      <w:r>
        <w:rPr>
          <w:color w:val="000000"/>
          <w:sz w:val="18"/>
          <w:szCs w:val="18"/>
          <w:vertAlign w:val="superscript"/>
        </w:rPr>
        <w:t>2</w:t>
      </w:r>
      <w:r>
        <w:rPr>
          <w:color w:val="000000"/>
          <w:sz w:val="18"/>
          <w:szCs w:val="18"/>
        </w:rPr>
        <w:t xml:space="preserve"> Universidad Tecnológica de Querétaro, Pie de la cuesta 2501, 76148 Querétaro, México</w:t>
      </w:r>
    </w:p>
    <w:p w:rsidR="00AA522A" w:rsidRDefault="00201019">
      <w:pPr>
        <w:pBdr>
          <w:top w:val="nil"/>
          <w:left w:val="nil"/>
          <w:bottom w:val="nil"/>
          <w:right w:val="nil"/>
          <w:between w:val="nil"/>
        </w:pBdr>
        <w:spacing w:after="200"/>
        <w:jc w:val="center"/>
        <w:rPr>
          <w:rFonts w:ascii="Courier" w:eastAsia="Courier" w:hAnsi="Courier" w:cs="Courier"/>
          <w:color w:val="000000"/>
          <w:sz w:val="18"/>
          <w:szCs w:val="18"/>
        </w:rPr>
      </w:pPr>
      <w:r>
        <w:rPr>
          <w:rFonts w:ascii="Courier" w:eastAsia="Courier" w:hAnsi="Courier" w:cs="Courier"/>
          <w:color w:val="000000"/>
          <w:sz w:val="18"/>
          <w:szCs w:val="18"/>
        </w:rPr>
        <w:t>mimeti4.0@cidesi.edu.mx</w:t>
      </w:r>
    </w:p>
    <w:p w:rsidR="00AA522A" w:rsidRDefault="00201019">
      <w:pPr>
        <w:pBdr>
          <w:top w:val="nil"/>
          <w:left w:val="nil"/>
          <w:bottom w:val="nil"/>
          <w:right w:val="nil"/>
          <w:between w:val="nil"/>
        </w:pBdr>
        <w:spacing w:before="600" w:after="0"/>
        <w:ind w:left="567" w:right="567"/>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Resumen.</w:t>
      </w:r>
      <w:r>
        <w:rPr>
          <w:rFonts w:ascii="Times New Roman" w:eastAsia="Times New Roman" w:hAnsi="Times New Roman" w:cs="Times New Roman"/>
          <w:color w:val="000000"/>
          <w:sz w:val="18"/>
          <w:szCs w:val="18"/>
        </w:rPr>
        <w:t xml:space="preserve"> El resumen debe sintetizar el contenido del artículo en términos breves, es decir, 150-250 palabras.</w:t>
      </w:r>
    </w:p>
    <w:p w:rsidR="00AA522A" w:rsidRDefault="00201019">
      <w:pPr>
        <w:pBdr>
          <w:top w:val="nil"/>
          <w:left w:val="nil"/>
          <w:bottom w:val="nil"/>
          <w:right w:val="nil"/>
          <w:between w:val="nil"/>
        </w:pBdr>
        <w:spacing w:before="220" w:after="360"/>
        <w:ind w:left="567" w:right="567"/>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Palabras Clave:</w:t>
      </w:r>
      <w:r>
        <w:rPr>
          <w:rFonts w:ascii="Times New Roman" w:eastAsia="Times New Roman" w:hAnsi="Times New Roman" w:cs="Times New Roman"/>
          <w:color w:val="000000"/>
          <w:sz w:val="18"/>
          <w:szCs w:val="18"/>
        </w:rPr>
        <w:t xml:space="preserve"> Palabra clave, Segunda Palabra clave, Tercera Palabra clave.</w:t>
      </w:r>
    </w:p>
    <w:p w:rsidR="00AA522A" w:rsidRDefault="00201019">
      <w:pPr>
        <w:keepNext/>
        <w:keepLines/>
        <w:numPr>
          <w:ilvl w:val="0"/>
          <w:numId w:val="4"/>
        </w:numPr>
        <w:pBdr>
          <w:top w:val="nil"/>
          <w:left w:val="nil"/>
          <w:bottom w:val="nil"/>
          <w:right w:val="nil"/>
          <w:between w:val="nil"/>
        </w:pBdr>
        <w:spacing w:before="360" w:after="240"/>
        <w:ind w:right="567"/>
      </w:pPr>
      <w:r>
        <w:rPr>
          <w:b/>
          <w:bCs/>
          <w:color w:val="000000"/>
          <w:sz w:val="24"/>
          <w:szCs w:val="24"/>
        </w:rPr>
        <w:t>Primera Sección</w:t>
      </w:r>
    </w:p>
    <w:p w:rsidR="002C29C4" w:rsidRDefault="002C29C4">
      <w:pPr>
        <w:keepNext/>
        <w:keepLines/>
        <w:numPr>
          <w:ilvl w:val="1"/>
          <w:numId w:val="4"/>
        </w:numPr>
        <w:pBdr>
          <w:top w:val="nil"/>
          <w:left w:val="nil"/>
          <w:bottom w:val="nil"/>
          <w:right w:val="nil"/>
          <w:between w:val="nil"/>
        </w:pBdr>
        <w:ind w:right="567"/>
      </w:pPr>
      <w:r w:rsidRPr="002C29C4">
        <w:rPr>
          <w:b/>
          <w:bCs/>
          <w:color w:val="000000"/>
          <w:sz w:val="20"/>
          <w:szCs w:val="20"/>
        </w:rPr>
        <w:t>Uso de la plantilla</w:t>
      </w:r>
    </w:p>
    <w:p w:rsidR="002C29C4" w:rsidRPr="002C29C4" w:rsidRDefault="002C29C4" w:rsidP="002C29C4">
      <w:pPr>
        <w:rPr>
          <w:color w:val="FF0000"/>
        </w:rPr>
      </w:pPr>
      <w:r w:rsidRPr="002C29C4">
        <w:rPr>
          <w:color w:val="FF0000"/>
        </w:rPr>
        <w:t>Esta plantilla es solo para la propuesta de ponencia en el congreso, aquellos trabajos que sean cons</w:t>
      </w:r>
      <w:bookmarkStart w:id="0" w:name="_GoBack"/>
      <w:bookmarkEnd w:id="0"/>
      <w:r w:rsidRPr="002C29C4">
        <w:rPr>
          <w:color w:val="FF0000"/>
        </w:rPr>
        <w:t xml:space="preserve">iderados para publicación en las memorias del congreso, será obligatorio utilizar la plantilla oficial en </w:t>
      </w:r>
      <w:proofErr w:type="spellStart"/>
      <w:r w:rsidRPr="002C29C4">
        <w:rPr>
          <w:color w:val="FF0000"/>
        </w:rPr>
        <w:t>LaTeX</w:t>
      </w:r>
      <w:proofErr w:type="spellEnd"/>
      <w:r w:rsidRPr="002C29C4">
        <w:rPr>
          <w:color w:val="FF0000"/>
        </w:rPr>
        <w:t>.</w:t>
      </w:r>
    </w:p>
    <w:p w:rsidR="00AA522A" w:rsidRDefault="00201019">
      <w:pPr>
        <w:keepNext/>
        <w:keepLines/>
        <w:numPr>
          <w:ilvl w:val="1"/>
          <w:numId w:val="4"/>
        </w:numPr>
        <w:pBdr>
          <w:top w:val="nil"/>
          <w:left w:val="nil"/>
          <w:bottom w:val="nil"/>
          <w:right w:val="nil"/>
          <w:between w:val="nil"/>
        </w:pBdr>
        <w:ind w:right="567"/>
      </w:pPr>
      <w:r>
        <w:rPr>
          <w:b/>
          <w:bCs/>
          <w:color w:val="000000"/>
          <w:sz w:val="20"/>
          <w:szCs w:val="20"/>
        </w:rPr>
        <w:t>Un Ejemplo de Subsección</w:t>
      </w:r>
    </w:p>
    <w:p w:rsidR="00AA522A" w:rsidRDefault="00201019">
      <w:r>
        <w:t>Tenga en cuenta que el primer párrafo de una sección o subsección no lleva sangría. Los primeros párrafos que siguen a una tabla, figura, ecuación, etc., tampoco la llevan.</w:t>
      </w:r>
    </w:p>
    <w:p w:rsidR="00AA522A" w:rsidRDefault="00201019">
      <w:r>
        <w:t>Sin embargo, los párrafos siguientes llevan sangría.</w:t>
      </w:r>
    </w:p>
    <w:p w:rsidR="00AA522A" w:rsidRDefault="00201019">
      <w:pPr>
        <w:pStyle w:val="Heading3"/>
      </w:pPr>
      <w:r>
        <w:rPr>
          <w:b/>
          <w:bCs/>
        </w:rPr>
        <w:t xml:space="preserve">Encabezado de muestra (tercer </w:t>
      </w:r>
      <w:r>
        <w:rPr>
          <w:b/>
          <w:bCs/>
        </w:rPr>
        <w:t>nivel).</w:t>
      </w:r>
      <w:r>
        <w:t xml:space="preserve"> Solo se deben numerar dos niveles de encabezados. Los encabezados de nivel inferior no se numeran; se formatean como encabezados de interlineado.</w:t>
      </w:r>
    </w:p>
    <w:p w:rsidR="00AA522A" w:rsidRDefault="00201019">
      <w:pPr>
        <w:pStyle w:val="Heading4"/>
      </w:pPr>
      <w:r>
        <w:rPr>
          <w:i/>
          <w:iCs/>
        </w:rPr>
        <w:t>Encabezado de muestra (cuarto nivel).</w:t>
      </w:r>
      <w:r>
        <w:t xml:space="preserve"> La contribución no debe contener más de cuatro niveles de encabe</w:t>
      </w:r>
      <w:r>
        <w:t>zados. La siguiente Tabla 1 presenta un resumen de todos los niveles de encabezados.</w:t>
      </w:r>
    </w:p>
    <w:p w:rsidR="00AA522A" w:rsidRDefault="00201019">
      <w:pPr>
        <w:keepNext/>
        <w:keepLines/>
        <w:pBdr>
          <w:top w:val="nil"/>
          <w:left w:val="nil"/>
          <w:bottom w:val="nil"/>
          <w:right w:val="nil"/>
          <w:between w:val="nil"/>
        </w:pBdr>
        <w:spacing w:before="240" w:after="120"/>
        <w:jc w:val="center"/>
        <w:rPr>
          <w:color w:val="000000"/>
          <w:sz w:val="18"/>
          <w:szCs w:val="18"/>
        </w:rPr>
      </w:pPr>
      <w:bookmarkStart w:id="1" w:name="_heading=h.ok42v0nvrqgi" w:colFirst="0" w:colLast="0"/>
      <w:bookmarkEnd w:id="1"/>
      <w:r>
        <w:rPr>
          <w:b/>
          <w:bCs/>
          <w:color w:val="000000"/>
          <w:sz w:val="18"/>
          <w:szCs w:val="18"/>
        </w:rPr>
        <w:lastRenderedPageBreak/>
        <w:t>Tabla 1.</w:t>
      </w:r>
      <w:r>
        <w:rPr>
          <w:color w:val="000000"/>
          <w:sz w:val="18"/>
          <w:szCs w:val="18"/>
        </w:rPr>
        <w:t xml:space="preserve"> Los títulos de las tablas deben colocarse encima de las tablas.</w:t>
      </w:r>
    </w:p>
    <w:tbl>
      <w:tblPr>
        <w:tblStyle w:val="a"/>
        <w:tblW w:w="6889" w:type="dxa"/>
        <w:jc w:val="center"/>
        <w:tblInd w:w="0" w:type="dxa"/>
        <w:tblLayout w:type="fixed"/>
        <w:tblLook w:val="0000" w:firstRow="0" w:lastRow="0" w:firstColumn="0" w:lastColumn="0" w:noHBand="0" w:noVBand="0"/>
      </w:tblPr>
      <w:tblGrid>
        <w:gridCol w:w="1843"/>
        <w:gridCol w:w="2977"/>
        <w:gridCol w:w="2069"/>
      </w:tblGrid>
      <w:tr w:rsidR="00AA522A">
        <w:trPr>
          <w:jc w:val="center"/>
        </w:trPr>
        <w:tc>
          <w:tcPr>
            <w:tcW w:w="1843" w:type="dxa"/>
            <w:tcBorders>
              <w:top w:val="single" w:sz="12" w:space="0" w:color="000000"/>
              <w:bottom w:val="single" w:sz="6" w:space="0" w:color="000000"/>
            </w:tcBorders>
          </w:tcPr>
          <w:p w:rsidR="00AA522A" w:rsidRDefault="00201019">
            <w:pPr>
              <w:rPr>
                <w:sz w:val="18"/>
                <w:szCs w:val="18"/>
              </w:rPr>
            </w:pPr>
            <w:r>
              <w:rPr>
                <w:sz w:val="18"/>
                <w:szCs w:val="18"/>
              </w:rPr>
              <w:t>Nivel de encabezado</w:t>
            </w:r>
          </w:p>
        </w:tc>
        <w:tc>
          <w:tcPr>
            <w:tcW w:w="2977" w:type="dxa"/>
            <w:tcBorders>
              <w:top w:val="single" w:sz="12" w:space="0" w:color="000000"/>
              <w:bottom w:val="single" w:sz="6" w:space="0" w:color="000000"/>
            </w:tcBorders>
          </w:tcPr>
          <w:p w:rsidR="00AA522A" w:rsidRDefault="00201019">
            <w:pPr>
              <w:rPr>
                <w:sz w:val="18"/>
                <w:szCs w:val="18"/>
              </w:rPr>
            </w:pPr>
            <w:r>
              <w:rPr>
                <w:sz w:val="18"/>
                <w:szCs w:val="18"/>
              </w:rPr>
              <w:t>Ejemplo</w:t>
            </w:r>
          </w:p>
        </w:tc>
        <w:tc>
          <w:tcPr>
            <w:tcW w:w="2069" w:type="dxa"/>
            <w:tcBorders>
              <w:top w:val="single" w:sz="12" w:space="0" w:color="000000"/>
              <w:bottom w:val="single" w:sz="6" w:space="0" w:color="000000"/>
            </w:tcBorders>
          </w:tcPr>
          <w:p w:rsidR="00AA522A" w:rsidRDefault="00201019">
            <w:pPr>
              <w:rPr>
                <w:sz w:val="18"/>
                <w:szCs w:val="18"/>
              </w:rPr>
            </w:pPr>
            <w:r>
              <w:rPr>
                <w:sz w:val="18"/>
                <w:szCs w:val="18"/>
              </w:rPr>
              <w:t>Tamaño y estilo de fuente</w:t>
            </w:r>
          </w:p>
        </w:tc>
      </w:tr>
      <w:tr w:rsidR="00AA522A">
        <w:trPr>
          <w:trHeight w:val="284"/>
          <w:jc w:val="center"/>
        </w:trPr>
        <w:tc>
          <w:tcPr>
            <w:tcW w:w="1843" w:type="dxa"/>
          </w:tcPr>
          <w:p w:rsidR="00AA522A" w:rsidRDefault="00201019">
            <w:pPr>
              <w:rPr>
                <w:sz w:val="18"/>
                <w:szCs w:val="18"/>
              </w:rPr>
            </w:pPr>
            <w:r>
              <w:rPr>
                <w:sz w:val="18"/>
                <w:szCs w:val="18"/>
              </w:rPr>
              <w:t>Título (centrado)</w:t>
            </w:r>
          </w:p>
        </w:tc>
        <w:tc>
          <w:tcPr>
            <w:tcW w:w="2977" w:type="dxa"/>
          </w:tcPr>
          <w:p w:rsidR="00AA522A" w:rsidRDefault="00201019">
            <w:pPr>
              <w:rPr>
                <w:sz w:val="18"/>
                <w:szCs w:val="18"/>
              </w:rPr>
            </w:pPr>
            <w:r>
              <w:rPr>
                <w:b/>
                <w:bCs/>
                <w:sz w:val="28"/>
                <w:szCs w:val="28"/>
              </w:rPr>
              <w:t>Notas de la Conferencia</w:t>
            </w:r>
          </w:p>
        </w:tc>
        <w:tc>
          <w:tcPr>
            <w:tcW w:w="2069" w:type="dxa"/>
          </w:tcPr>
          <w:p w:rsidR="00AA522A" w:rsidRDefault="00201019">
            <w:pPr>
              <w:rPr>
                <w:sz w:val="18"/>
                <w:szCs w:val="18"/>
              </w:rPr>
            </w:pPr>
            <w:r>
              <w:rPr>
                <w:sz w:val="18"/>
                <w:szCs w:val="18"/>
              </w:rPr>
              <w:t>14 puntos, negrita</w:t>
            </w:r>
          </w:p>
        </w:tc>
      </w:tr>
      <w:tr w:rsidR="00AA522A">
        <w:trPr>
          <w:trHeight w:val="284"/>
          <w:jc w:val="center"/>
        </w:trPr>
        <w:tc>
          <w:tcPr>
            <w:tcW w:w="1843" w:type="dxa"/>
          </w:tcPr>
          <w:p w:rsidR="00AA522A" w:rsidRDefault="00201019">
            <w:pPr>
              <w:rPr>
                <w:sz w:val="18"/>
                <w:szCs w:val="18"/>
              </w:rPr>
            </w:pPr>
            <w:r>
              <w:rPr>
                <w:sz w:val="18"/>
                <w:szCs w:val="18"/>
              </w:rPr>
              <w:t>Encabezado de 1</w:t>
            </w:r>
            <w:r>
              <w:rPr>
                <w:sz w:val="18"/>
                <w:szCs w:val="18"/>
                <w:vertAlign w:val="superscript"/>
              </w:rPr>
              <w:t>er</w:t>
            </w:r>
            <w:r>
              <w:rPr>
                <w:sz w:val="18"/>
                <w:szCs w:val="18"/>
              </w:rPr>
              <w:t>nivel</w:t>
            </w:r>
          </w:p>
        </w:tc>
        <w:tc>
          <w:tcPr>
            <w:tcW w:w="2977" w:type="dxa"/>
          </w:tcPr>
          <w:p w:rsidR="00AA522A" w:rsidRDefault="00201019">
            <w:pPr>
              <w:rPr>
                <w:sz w:val="18"/>
                <w:szCs w:val="18"/>
              </w:rPr>
            </w:pPr>
            <w:r>
              <w:rPr>
                <w:b/>
                <w:bCs/>
                <w:sz w:val="24"/>
                <w:szCs w:val="24"/>
              </w:rPr>
              <w:t xml:space="preserve">1 </w:t>
            </w:r>
            <w:proofErr w:type="spellStart"/>
            <w:r>
              <w:rPr>
                <w:b/>
                <w:bCs/>
                <w:sz w:val="24"/>
                <w:szCs w:val="24"/>
              </w:rPr>
              <w:t>Introduction</w:t>
            </w:r>
            <w:proofErr w:type="spellEnd"/>
          </w:p>
        </w:tc>
        <w:tc>
          <w:tcPr>
            <w:tcW w:w="2069" w:type="dxa"/>
          </w:tcPr>
          <w:p w:rsidR="00AA522A" w:rsidRDefault="00201019">
            <w:pPr>
              <w:rPr>
                <w:sz w:val="18"/>
                <w:szCs w:val="18"/>
              </w:rPr>
            </w:pPr>
            <w:r>
              <w:rPr>
                <w:sz w:val="18"/>
                <w:szCs w:val="18"/>
              </w:rPr>
              <w:t>12 puntos, negrita</w:t>
            </w:r>
          </w:p>
        </w:tc>
      </w:tr>
      <w:tr w:rsidR="00AA522A">
        <w:trPr>
          <w:trHeight w:val="284"/>
          <w:jc w:val="center"/>
        </w:trPr>
        <w:tc>
          <w:tcPr>
            <w:tcW w:w="1843" w:type="dxa"/>
          </w:tcPr>
          <w:p w:rsidR="00AA522A" w:rsidRDefault="00201019">
            <w:pPr>
              <w:rPr>
                <w:sz w:val="18"/>
                <w:szCs w:val="18"/>
              </w:rPr>
            </w:pPr>
            <w:r>
              <w:rPr>
                <w:sz w:val="18"/>
                <w:szCs w:val="18"/>
              </w:rPr>
              <w:t>Encabezado de 2</w:t>
            </w:r>
            <w:r>
              <w:rPr>
                <w:sz w:val="18"/>
                <w:szCs w:val="18"/>
                <w:vertAlign w:val="superscript"/>
              </w:rPr>
              <w:t>do</w:t>
            </w:r>
            <w:r>
              <w:rPr>
                <w:sz w:val="18"/>
                <w:szCs w:val="18"/>
              </w:rPr>
              <w:t>nivel</w:t>
            </w:r>
          </w:p>
        </w:tc>
        <w:tc>
          <w:tcPr>
            <w:tcW w:w="2977" w:type="dxa"/>
          </w:tcPr>
          <w:p w:rsidR="00AA522A" w:rsidRDefault="00201019">
            <w:pPr>
              <w:rPr>
                <w:sz w:val="18"/>
                <w:szCs w:val="18"/>
              </w:rPr>
            </w:pPr>
            <w:r>
              <w:rPr>
                <w:b/>
                <w:bCs/>
              </w:rPr>
              <w:t xml:space="preserve">2.1 </w:t>
            </w:r>
            <w:proofErr w:type="spellStart"/>
            <w:r>
              <w:rPr>
                <w:b/>
                <w:bCs/>
              </w:rPr>
              <w:t>Printing</w:t>
            </w:r>
            <w:proofErr w:type="spellEnd"/>
            <w:r>
              <w:rPr>
                <w:b/>
                <w:bCs/>
              </w:rPr>
              <w:t xml:space="preserve"> </w:t>
            </w:r>
            <w:proofErr w:type="spellStart"/>
            <w:r>
              <w:rPr>
                <w:b/>
                <w:bCs/>
              </w:rPr>
              <w:t>Area</w:t>
            </w:r>
            <w:proofErr w:type="spellEnd"/>
          </w:p>
        </w:tc>
        <w:tc>
          <w:tcPr>
            <w:tcW w:w="2069" w:type="dxa"/>
          </w:tcPr>
          <w:p w:rsidR="00AA522A" w:rsidRDefault="00201019">
            <w:pPr>
              <w:rPr>
                <w:sz w:val="18"/>
                <w:szCs w:val="18"/>
              </w:rPr>
            </w:pPr>
            <w:r>
              <w:rPr>
                <w:sz w:val="18"/>
                <w:szCs w:val="18"/>
              </w:rPr>
              <w:t>10 puntos, negrita</w:t>
            </w:r>
          </w:p>
        </w:tc>
      </w:tr>
      <w:tr w:rsidR="00AA522A">
        <w:trPr>
          <w:trHeight w:val="284"/>
          <w:jc w:val="center"/>
        </w:trPr>
        <w:tc>
          <w:tcPr>
            <w:tcW w:w="1843" w:type="dxa"/>
          </w:tcPr>
          <w:p w:rsidR="00AA522A" w:rsidRDefault="00201019">
            <w:pPr>
              <w:rPr>
                <w:sz w:val="18"/>
                <w:szCs w:val="18"/>
              </w:rPr>
            </w:pPr>
            <w:r>
              <w:rPr>
                <w:sz w:val="18"/>
                <w:szCs w:val="18"/>
              </w:rPr>
              <w:t>Encabezado de 3</w:t>
            </w:r>
            <w:r>
              <w:rPr>
                <w:sz w:val="18"/>
                <w:szCs w:val="18"/>
                <w:vertAlign w:val="superscript"/>
              </w:rPr>
              <w:t>er</w:t>
            </w:r>
            <w:r>
              <w:rPr>
                <w:sz w:val="18"/>
                <w:szCs w:val="18"/>
              </w:rPr>
              <w:t>nivel</w:t>
            </w:r>
          </w:p>
        </w:tc>
        <w:tc>
          <w:tcPr>
            <w:tcW w:w="2977" w:type="dxa"/>
          </w:tcPr>
          <w:p w:rsidR="00AA522A" w:rsidRDefault="00201019">
            <w:pPr>
              <w:rPr>
                <w:sz w:val="18"/>
                <w:szCs w:val="18"/>
              </w:rPr>
            </w:pPr>
            <w:r>
              <w:rPr>
                <w:b/>
                <w:bCs/>
              </w:rPr>
              <w:t>Encabezado de entrada en negrita.</w:t>
            </w:r>
            <w:r>
              <w:t xml:space="preserve"> El texto sigue</w:t>
            </w:r>
          </w:p>
        </w:tc>
        <w:tc>
          <w:tcPr>
            <w:tcW w:w="2069" w:type="dxa"/>
          </w:tcPr>
          <w:p w:rsidR="00AA522A" w:rsidRDefault="00201019">
            <w:pPr>
              <w:rPr>
                <w:sz w:val="18"/>
                <w:szCs w:val="18"/>
              </w:rPr>
            </w:pPr>
            <w:r>
              <w:rPr>
                <w:sz w:val="18"/>
                <w:szCs w:val="18"/>
              </w:rPr>
              <w:t>10 puntos, negrita</w:t>
            </w:r>
          </w:p>
        </w:tc>
      </w:tr>
      <w:tr w:rsidR="00AA522A">
        <w:trPr>
          <w:trHeight w:val="284"/>
          <w:jc w:val="center"/>
        </w:trPr>
        <w:tc>
          <w:tcPr>
            <w:tcW w:w="1843" w:type="dxa"/>
            <w:tcBorders>
              <w:bottom w:val="single" w:sz="12" w:space="0" w:color="000000"/>
            </w:tcBorders>
          </w:tcPr>
          <w:p w:rsidR="00AA522A" w:rsidRDefault="00201019">
            <w:pPr>
              <w:rPr>
                <w:sz w:val="18"/>
                <w:szCs w:val="18"/>
              </w:rPr>
            </w:pPr>
            <w:r>
              <w:rPr>
                <w:sz w:val="18"/>
                <w:szCs w:val="18"/>
              </w:rPr>
              <w:t>Encabezado de 4</w:t>
            </w:r>
            <w:r>
              <w:rPr>
                <w:sz w:val="18"/>
                <w:szCs w:val="18"/>
                <w:vertAlign w:val="superscript"/>
              </w:rPr>
              <w:t>er</w:t>
            </w:r>
            <w:r>
              <w:rPr>
                <w:sz w:val="18"/>
                <w:szCs w:val="18"/>
              </w:rPr>
              <w:t>nivel</w:t>
            </w:r>
          </w:p>
        </w:tc>
        <w:tc>
          <w:tcPr>
            <w:tcW w:w="2977" w:type="dxa"/>
            <w:tcBorders>
              <w:bottom w:val="single" w:sz="12" w:space="0" w:color="000000"/>
            </w:tcBorders>
          </w:tcPr>
          <w:p w:rsidR="00AA522A" w:rsidRDefault="00201019">
            <w:pPr>
              <w:rPr>
                <w:sz w:val="18"/>
                <w:szCs w:val="18"/>
              </w:rPr>
            </w:pPr>
            <w:r>
              <w:rPr>
                <w:i/>
                <w:iCs/>
              </w:rPr>
              <w:t>Encabezado de nivel más bajo.</w:t>
            </w:r>
            <w:r>
              <w:t xml:space="preserve"> El texto sigue</w:t>
            </w:r>
          </w:p>
        </w:tc>
        <w:tc>
          <w:tcPr>
            <w:tcW w:w="2069" w:type="dxa"/>
            <w:tcBorders>
              <w:bottom w:val="single" w:sz="12" w:space="0" w:color="000000"/>
            </w:tcBorders>
          </w:tcPr>
          <w:p w:rsidR="00AA522A" w:rsidRDefault="00201019">
            <w:pPr>
              <w:rPr>
                <w:sz w:val="18"/>
                <w:szCs w:val="18"/>
              </w:rPr>
            </w:pPr>
            <w:r>
              <w:rPr>
                <w:sz w:val="18"/>
                <w:szCs w:val="18"/>
              </w:rPr>
              <w:t>10 puntos, negrita</w:t>
            </w:r>
          </w:p>
        </w:tc>
      </w:tr>
    </w:tbl>
    <w:p w:rsidR="00AA522A" w:rsidRDefault="00201019">
      <w:pPr>
        <w:spacing w:before="240"/>
      </w:pPr>
      <w:r>
        <w:t>Las ecuaciones mostradas están centradas y colocadas en una línea separada.</w:t>
      </w:r>
    </w:p>
    <w:p w:rsidR="00AA522A" w:rsidRDefault="00201019">
      <w:pPr>
        <w:pBdr>
          <w:top w:val="nil"/>
          <w:left w:val="nil"/>
          <w:bottom w:val="nil"/>
          <w:right w:val="nil"/>
          <w:between w:val="nil"/>
        </w:pBdr>
        <w:tabs>
          <w:tab w:val="center" w:pos="3289"/>
          <w:tab w:val="right" w:pos="6917"/>
        </w:tabs>
        <w:spacing w:before="160"/>
        <w:rPr>
          <w:color w:val="000000"/>
        </w:rPr>
      </w:pPr>
      <w:bookmarkStart w:id="2" w:name="_heading=h.eukoky4y2qf6" w:colFirst="0" w:colLast="0"/>
      <w:bookmarkEnd w:id="2"/>
      <w:r>
        <w:rPr>
          <w:i/>
          <w:iCs/>
          <w:color w:val="000000"/>
        </w:rPr>
        <w:tab/>
      </w:r>
      <m:oMath>
        <m:r>
          <w:rPr>
            <w:rFonts w:ascii="Cambria Math" w:eastAsia="Cambria Math" w:hAnsi="Cambria Math" w:cs="Cambria Math"/>
            <w:color w:val="000000"/>
          </w:rPr>
          <m:t>x</m:t>
        </m:r>
        <m:r>
          <w:rPr>
            <w:rFonts w:ascii="Cambria Math" w:eastAsia="Cambria Math" w:hAnsi="Cambria Math" w:cs="Cambria Math"/>
            <w:color w:val="000000"/>
          </w:rPr>
          <m:t xml:space="preserve"> + </m:t>
        </m:r>
        <m:r>
          <w:rPr>
            <w:rFonts w:ascii="Cambria Math" w:eastAsia="Cambria Math" w:hAnsi="Cambria Math" w:cs="Cambria Math"/>
            <w:color w:val="000000"/>
          </w:rPr>
          <m:t>y</m:t>
        </m:r>
        <m:r>
          <w:rPr>
            <w:rFonts w:ascii="Cambria Math" w:eastAsia="Cambria Math" w:hAnsi="Cambria Math" w:cs="Cambria Math"/>
            <w:color w:val="000000"/>
          </w:rPr>
          <m:t xml:space="preserve"> = </m:t>
        </m:r>
        <m:r>
          <w:rPr>
            <w:rFonts w:ascii="Cambria Math" w:eastAsia="Cambria Math" w:hAnsi="Cambria Math" w:cs="Cambria Math"/>
            <w:color w:val="000000"/>
          </w:rPr>
          <m:t>z</m:t>
        </m:r>
      </m:oMath>
      <w:r>
        <w:rPr>
          <w:color w:val="000000"/>
        </w:rPr>
        <w:tab/>
        <w:t>(1)</w:t>
      </w:r>
    </w:p>
    <w:p w:rsidR="00AA522A" w:rsidRDefault="00201019">
      <w:r>
        <w:t xml:space="preserve">Evite las imágenes </w:t>
      </w:r>
      <w:proofErr w:type="spellStart"/>
      <w:r>
        <w:t>rasterizadas</w:t>
      </w:r>
      <w:proofErr w:type="spellEnd"/>
      <w:r>
        <w:t xml:space="preserve"> para diagramas y esquemas lineales. Siempre que sea posible, utilice gráficos vectoriales. (ver Fig. 1).</w:t>
      </w:r>
    </w:p>
    <w:p w:rsidR="00AA522A" w:rsidRDefault="00201019">
      <w:pPr>
        <w:spacing w:before="360"/>
        <w:ind w:left="227" w:hanging="227"/>
      </w:pPr>
      <w:r>
        <w:rPr>
          <w:noProof/>
        </w:rPr>
        <w:drawing>
          <wp:inline distT="0" distB="0" distL="0" distR="0">
            <wp:extent cx="4400550" cy="1867521"/>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A522A" w:rsidRDefault="00201019">
      <w:pPr>
        <w:keepNext/>
        <w:keepLines/>
        <w:pBdr>
          <w:top w:val="nil"/>
          <w:left w:val="nil"/>
          <w:bottom w:val="nil"/>
          <w:right w:val="nil"/>
          <w:between w:val="nil"/>
        </w:pBdr>
        <w:spacing w:before="120" w:after="240"/>
        <w:jc w:val="both"/>
        <w:rPr>
          <w:color w:val="000000"/>
          <w:sz w:val="18"/>
          <w:szCs w:val="18"/>
        </w:rPr>
      </w:pPr>
      <w:bookmarkStart w:id="3" w:name="_heading=h.xu32hfcxp736" w:colFirst="0" w:colLast="0"/>
      <w:bookmarkEnd w:id="3"/>
      <w:r>
        <w:rPr>
          <w:b/>
          <w:bCs/>
          <w:color w:val="000000"/>
          <w:sz w:val="18"/>
          <w:szCs w:val="18"/>
        </w:rPr>
        <w:lastRenderedPageBreak/>
        <w:t>Fig. 1.</w:t>
      </w:r>
      <w:r>
        <w:rPr>
          <w:color w:val="000000"/>
          <w:sz w:val="18"/>
          <w:szCs w:val="18"/>
        </w:rPr>
        <w:t xml:space="preserve"> El pie de figura siempre se coloca debajo de la ilustración. Los pies de figura cortos se centran, mientras q</w:t>
      </w:r>
      <w:r>
        <w:rPr>
          <w:color w:val="000000"/>
          <w:sz w:val="18"/>
          <w:szCs w:val="18"/>
        </w:rPr>
        <w:t>ue los largos se justifican. El botón de macro selecciona automáticamente el formato correcto.</w:t>
      </w:r>
    </w:p>
    <w:p w:rsidR="00AA522A" w:rsidRDefault="00201019">
      <w:r>
        <w:t>Los detalles de las figuras deben ser claramente legibles. Los dibujos no vectoriales deben tener una resolución mínima de 600 dpi (preferiblemente 800 dpi). El texto en las figuras debe tener una altura del tipo de letra de 10 puntos. Las figuras deben aj</w:t>
      </w:r>
      <w:r>
        <w:t>ustarse a escala según corresponda.</w:t>
      </w:r>
    </w:p>
    <w:p w:rsidR="00AA522A" w:rsidRDefault="00201019">
      <w:pPr>
        <w:keepNext/>
        <w:keepLines/>
        <w:numPr>
          <w:ilvl w:val="1"/>
          <w:numId w:val="4"/>
        </w:numPr>
        <w:pBdr>
          <w:top w:val="nil"/>
          <w:left w:val="nil"/>
          <w:bottom w:val="nil"/>
          <w:right w:val="nil"/>
          <w:between w:val="nil"/>
        </w:pBdr>
        <w:spacing w:before="360"/>
        <w:ind w:right="567"/>
      </w:pPr>
      <w:r>
        <w:rPr>
          <w:b/>
          <w:bCs/>
          <w:color w:val="000000"/>
          <w:sz w:val="20"/>
          <w:szCs w:val="20"/>
        </w:rPr>
        <w:t>Instrucciones para citas y referencias (Estilo APA)</w:t>
      </w:r>
    </w:p>
    <w:p w:rsidR="00AA522A" w:rsidRDefault="00201019">
      <w:r>
        <w:t>Al preparar su manuscrito para su envío, siga estas pautas para que las citas y referencias cumplan con el estilo APA (Asociación Americana de Psicología).</w:t>
      </w:r>
    </w:p>
    <w:p w:rsidR="00AA522A" w:rsidRDefault="00201019">
      <w:r>
        <w:t xml:space="preserve">Citas en el </w:t>
      </w:r>
      <w:r>
        <w:t>texto</w:t>
      </w:r>
    </w:p>
    <w:p w:rsidR="00AA522A" w:rsidRDefault="00201019">
      <w:pPr>
        <w:numPr>
          <w:ilvl w:val="0"/>
          <w:numId w:val="3"/>
        </w:numPr>
        <w:pBdr>
          <w:top w:val="nil"/>
          <w:left w:val="nil"/>
          <w:bottom w:val="nil"/>
          <w:right w:val="nil"/>
          <w:between w:val="nil"/>
        </w:pBdr>
        <w:spacing w:before="160"/>
        <w:ind w:hanging="56"/>
      </w:pPr>
      <w:r>
        <w:rPr>
          <w:color w:val="000000"/>
        </w:rPr>
        <w:t>Sistema de citas autor-fecha:</w:t>
      </w:r>
    </w:p>
    <w:p w:rsidR="00AA522A" w:rsidRDefault="00201019">
      <w:pPr>
        <w:numPr>
          <w:ilvl w:val="0"/>
          <w:numId w:val="1"/>
        </w:numPr>
        <w:pBdr>
          <w:top w:val="nil"/>
          <w:left w:val="nil"/>
          <w:bottom w:val="nil"/>
          <w:right w:val="nil"/>
          <w:between w:val="nil"/>
        </w:pBdr>
        <w:spacing w:after="0"/>
      </w:pPr>
      <w:r>
        <w:rPr>
          <w:color w:val="000000"/>
        </w:rPr>
        <w:t>Utilice el sistema de citas autor-fecha para las citas en el texto.</w:t>
      </w:r>
    </w:p>
    <w:p w:rsidR="00AA522A" w:rsidRDefault="00201019">
      <w:pPr>
        <w:numPr>
          <w:ilvl w:val="0"/>
          <w:numId w:val="1"/>
        </w:numPr>
        <w:pBdr>
          <w:top w:val="nil"/>
          <w:left w:val="nil"/>
          <w:bottom w:val="nil"/>
          <w:right w:val="nil"/>
          <w:between w:val="nil"/>
        </w:pBdr>
        <w:spacing w:after="0"/>
      </w:pPr>
      <w:r>
        <w:rPr>
          <w:color w:val="000000"/>
        </w:rPr>
        <w:t>Formato: (Autor, Año) o (Autor 1 y Autor 2, Año) o (Autor et al., Año) para tres o más autores.</w:t>
      </w:r>
    </w:p>
    <w:p w:rsidR="00AA522A" w:rsidRDefault="00201019">
      <w:pPr>
        <w:numPr>
          <w:ilvl w:val="0"/>
          <w:numId w:val="1"/>
        </w:numPr>
        <w:pBdr>
          <w:top w:val="nil"/>
          <w:left w:val="nil"/>
          <w:bottom w:val="nil"/>
          <w:right w:val="nil"/>
          <w:between w:val="nil"/>
        </w:pBdr>
      </w:pPr>
      <w:r>
        <w:rPr>
          <w:color w:val="000000"/>
        </w:rPr>
        <w:t>Ejemplos: Un solo autor: (Smith, 2020), Dos autores: (Smith y Jones, 2020), Tres o más autores: (Smith et al., 2020)</w:t>
      </w:r>
    </w:p>
    <w:p w:rsidR="00AA522A" w:rsidRDefault="00201019">
      <w:pPr>
        <w:numPr>
          <w:ilvl w:val="0"/>
          <w:numId w:val="3"/>
        </w:numPr>
        <w:pBdr>
          <w:top w:val="nil"/>
          <w:left w:val="nil"/>
          <w:bottom w:val="nil"/>
          <w:right w:val="nil"/>
          <w:between w:val="nil"/>
        </w:pBdr>
        <w:ind w:hanging="56"/>
      </w:pPr>
      <w:r>
        <w:rPr>
          <w:color w:val="000000"/>
        </w:rPr>
        <w:t>Varias obras de diferentes autores:</w:t>
      </w:r>
    </w:p>
    <w:p w:rsidR="00AA522A" w:rsidRDefault="00201019">
      <w:pPr>
        <w:numPr>
          <w:ilvl w:val="0"/>
          <w:numId w:val="1"/>
        </w:numPr>
        <w:pBdr>
          <w:top w:val="nil"/>
          <w:left w:val="nil"/>
          <w:bottom w:val="nil"/>
          <w:right w:val="nil"/>
          <w:between w:val="nil"/>
        </w:pBdr>
        <w:spacing w:after="0"/>
      </w:pPr>
      <w:r>
        <w:rPr>
          <w:color w:val="000000"/>
        </w:rPr>
        <w:t>Separe las citas con punto y coma.</w:t>
      </w:r>
    </w:p>
    <w:p w:rsidR="00AA522A" w:rsidRDefault="00201019">
      <w:pPr>
        <w:numPr>
          <w:ilvl w:val="0"/>
          <w:numId w:val="1"/>
        </w:numPr>
        <w:pBdr>
          <w:top w:val="nil"/>
          <w:left w:val="nil"/>
          <w:bottom w:val="nil"/>
          <w:right w:val="nil"/>
          <w:between w:val="nil"/>
        </w:pBdr>
      </w:pPr>
      <w:r>
        <w:rPr>
          <w:color w:val="000000"/>
        </w:rPr>
        <w:t>Ejemplo: (Smith, 2020; Johnson, 2019)</w:t>
      </w:r>
    </w:p>
    <w:p w:rsidR="00AA522A" w:rsidRDefault="00201019">
      <w:pPr>
        <w:numPr>
          <w:ilvl w:val="0"/>
          <w:numId w:val="3"/>
        </w:numPr>
        <w:pBdr>
          <w:top w:val="nil"/>
          <w:left w:val="nil"/>
          <w:bottom w:val="nil"/>
          <w:right w:val="nil"/>
          <w:between w:val="nil"/>
        </w:pBdr>
        <w:ind w:hanging="56"/>
      </w:pPr>
      <w:r>
        <w:rPr>
          <w:color w:val="000000"/>
        </w:rPr>
        <w:t>Varias obras del mismo autor:</w:t>
      </w:r>
    </w:p>
    <w:p w:rsidR="00AA522A" w:rsidRDefault="00201019">
      <w:pPr>
        <w:numPr>
          <w:ilvl w:val="0"/>
          <w:numId w:val="1"/>
        </w:numPr>
        <w:pBdr>
          <w:top w:val="nil"/>
          <w:left w:val="nil"/>
          <w:bottom w:val="nil"/>
          <w:right w:val="nil"/>
          <w:between w:val="nil"/>
        </w:pBdr>
        <w:spacing w:after="0"/>
      </w:pPr>
      <w:r>
        <w:rPr>
          <w:color w:val="000000"/>
        </w:rPr>
        <w:t>Ordenar por año de publicación, separadas por comas.</w:t>
      </w:r>
    </w:p>
    <w:p w:rsidR="00AA522A" w:rsidRDefault="00201019">
      <w:pPr>
        <w:numPr>
          <w:ilvl w:val="0"/>
          <w:numId w:val="1"/>
        </w:numPr>
        <w:pBdr>
          <w:top w:val="nil"/>
          <w:left w:val="nil"/>
          <w:bottom w:val="nil"/>
          <w:right w:val="nil"/>
          <w:between w:val="nil"/>
        </w:pBdr>
      </w:pPr>
      <w:r>
        <w:rPr>
          <w:color w:val="000000"/>
        </w:rPr>
        <w:t>Ejemplo: (Smith, 2018, 2020)</w:t>
      </w:r>
    </w:p>
    <w:p w:rsidR="00AA522A" w:rsidRDefault="00201019">
      <w:pPr>
        <w:numPr>
          <w:ilvl w:val="0"/>
          <w:numId w:val="3"/>
        </w:numPr>
        <w:pBdr>
          <w:top w:val="nil"/>
          <w:left w:val="nil"/>
          <w:bottom w:val="nil"/>
          <w:right w:val="nil"/>
          <w:between w:val="nil"/>
        </w:pBdr>
        <w:ind w:hanging="56"/>
      </w:pPr>
      <w:r>
        <w:rPr>
          <w:color w:val="000000"/>
        </w:rPr>
        <w:t>Citas directas:</w:t>
      </w:r>
    </w:p>
    <w:p w:rsidR="00AA522A" w:rsidRDefault="00201019">
      <w:pPr>
        <w:numPr>
          <w:ilvl w:val="0"/>
          <w:numId w:val="1"/>
        </w:numPr>
        <w:pBdr>
          <w:top w:val="nil"/>
          <w:left w:val="nil"/>
          <w:bottom w:val="nil"/>
          <w:right w:val="nil"/>
          <w:between w:val="nil"/>
        </w:pBdr>
        <w:spacing w:after="0"/>
      </w:pPr>
      <w:r>
        <w:rPr>
          <w:color w:val="000000"/>
        </w:rPr>
        <w:t>Incluir el número de página o de párrafo.</w:t>
      </w:r>
    </w:p>
    <w:p w:rsidR="00AA522A" w:rsidRDefault="00201019">
      <w:pPr>
        <w:numPr>
          <w:ilvl w:val="0"/>
          <w:numId w:val="1"/>
        </w:numPr>
        <w:pBdr>
          <w:top w:val="nil"/>
          <w:left w:val="nil"/>
          <w:bottom w:val="nil"/>
          <w:right w:val="nil"/>
          <w:between w:val="nil"/>
        </w:pBdr>
      </w:pPr>
      <w:r>
        <w:rPr>
          <w:color w:val="000000"/>
        </w:rPr>
        <w:t>Ejemplo: (Smith, 2020, p. 15) o (Smith, 2020, párr. 4)</w:t>
      </w:r>
    </w:p>
    <w:p w:rsidR="00AA522A" w:rsidRDefault="00201019">
      <w:r>
        <w:lastRenderedPageBreak/>
        <w:t>Se recomienda usar la herramienta “Estilo de bibliografía” de</w:t>
      </w:r>
      <w:r>
        <w:t xml:space="preserve"> la cintilla “Referencias” de Word.</w:t>
      </w:r>
    </w:p>
    <w:p w:rsidR="00AA522A" w:rsidRDefault="00201019">
      <w:r>
        <w:t>Mantener el manuscrito en un intervalo de 2,500 a 5,000 palabras.</w:t>
      </w:r>
    </w:p>
    <w:p w:rsidR="00AA522A" w:rsidRDefault="00201019">
      <w:pPr>
        <w:keepNext/>
        <w:keepLines/>
        <w:pBdr>
          <w:top w:val="nil"/>
          <w:left w:val="nil"/>
          <w:bottom w:val="nil"/>
          <w:right w:val="nil"/>
          <w:between w:val="nil"/>
        </w:pBdr>
        <w:spacing w:before="360" w:after="240"/>
        <w:ind w:left="567" w:right="567" w:hanging="567"/>
        <w:rPr>
          <w:b/>
          <w:bCs/>
          <w:color w:val="000000"/>
          <w:sz w:val="24"/>
          <w:szCs w:val="24"/>
        </w:rPr>
      </w:pPr>
      <w:r>
        <w:rPr>
          <w:b/>
          <w:bCs/>
          <w:color w:val="000000"/>
          <w:sz w:val="24"/>
          <w:szCs w:val="24"/>
        </w:rPr>
        <w:t>Referencias</w:t>
      </w:r>
    </w:p>
    <w:p w:rsidR="00AA522A" w:rsidRDefault="00201019">
      <w:bookmarkStart w:id="4" w:name="_heading=h.hgnntzeiosfk" w:colFirst="0" w:colLast="0"/>
      <w:bookmarkEnd w:id="4"/>
      <w:r>
        <w:t>Referencias (Estilo APA)</w:t>
      </w:r>
    </w:p>
    <w:p w:rsidR="00AA522A" w:rsidRDefault="00201019">
      <w:r>
        <w:t>Instrucciones de formato:</w:t>
      </w:r>
    </w:p>
    <w:p w:rsidR="00AA522A" w:rsidRDefault="00201019">
      <w:pPr>
        <w:numPr>
          <w:ilvl w:val="0"/>
          <w:numId w:val="2"/>
        </w:numPr>
        <w:pBdr>
          <w:top w:val="nil"/>
          <w:left w:val="nil"/>
          <w:bottom w:val="nil"/>
          <w:right w:val="nil"/>
          <w:between w:val="nil"/>
        </w:pBdr>
        <w:spacing w:before="160"/>
        <w:ind w:hanging="56"/>
        <w:rPr>
          <w:color w:val="000000"/>
        </w:rPr>
      </w:pPr>
      <w:r>
        <w:rPr>
          <w:color w:val="000000"/>
        </w:rPr>
        <w:t>Artículos de revistas:</w:t>
      </w:r>
    </w:p>
    <w:p w:rsidR="00AA522A" w:rsidRDefault="00201019">
      <w:pPr>
        <w:numPr>
          <w:ilvl w:val="0"/>
          <w:numId w:val="1"/>
        </w:numPr>
        <w:pBdr>
          <w:top w:val="nil"/>
          <w:left w:val="nil"/>
          <w:bottom w:val="nil"/>
          <w:right w:val="nil"/>
          <w:between w:val="nil"/>
        </w:pBdr>
        <w:spacing w:after="0"/>
        <w:rPr>
          <w:color w:val="000000"/>
        </w:rPr>
      </w:pPr>
      <w:proofErr w:type="spellStart"/>
      <w:r w:rsidRPr="002C29C4">
        <w:rPr>
          <w:color w:val="000000"/>
          <w:lang w:val="en-GB"/>
        </w:rPr>
        <w:t>Formato</w:t>
      </w:r>
      <w:proofErr w:type="spellEnd"/>
      <w:r w:rsidRPr="002C29C4">
        <w:rPr>
          <w:color w:val="000000"/>
          <w:lang w:val="en-GB"/>
        </w:rPr>
        <w:t xml:space="preserve">: Author(s). (Year). Title of the article. Title of the Journal, volume </w:t>
      </w:r>
      <w:proofErr w:type="gramStart"/>
      <w:r w:rsidRPr="002C29C4">
        <w:rPr>
          <w:color w:val="000000"/>
          <w:lang w:val="en-GB"/>
        </w:rPr>
        <w:t>number(</w:t>
      </w:r>
      <w:proofErr w:type="gramEnd"/>
      <w:r w:rsidRPr="002C29C4">
        <w:rPr>
          <w:color w:val="000000"/>
          <w:lang w:val="en-GB"/>
        </w:rPr>
        <w:t xml:space="preserve">issue number), page range. </w:t>
      </w:r>
      <w:r>
        <w:rPr>
          <w:color w:val="000000"/>
        </w:rPr>
        <w:t>DOI (</w:t>
      </w:r>
      <w:proofErr w:type="spellStart"/>
      <w:r>
        <w:rPr>
          <w:color w:val="000000"/>
        </w:rPr>
        <w:t>if</w:t>
      </w:r>
      <w:proofErr w:type="spellEnd"/>
      <w:r>
        <w:rPr>
          <w:color w:val="000000"/>
        </w:rPr>
        <w:t xml:space="preserve"> </w:t>
      </w:r>
      <w:proofErr w:type="spellStart"/>
      <w:r>
        <w:rPr>
          <w:color w:val="000000"/>
        </w:rPr>
        <w:t>available</w:t>
      </w:r>
      <w:proofErr w:type="spellEnd"/>
      <w:r>
        <w:rPr>
          <w:color w:val="000000"/>
        </w:rPr>
        <w:t>).</w:t>
      </w:r>
    </w:p>
    <w:p w:rsidR="00AA522A" w:rsidRDefault="00201019">
      <w:pPr>
        <w:numPr>
          <w:ilvl w:val="0"/>
          <w:numId w:val="1"/>
        </w:numPr>
        <w:pBdr>
          <w:top w:val="nil"/>
          <w:left w:val="nil"/>
          <w:bottom w:val="nil"/>
          <w:right w:val="nil"/>
          <w:between w:val="nil"/>
        </w:pBdr>
        <w:rPr>
          <w:color w:val="000000"/>
        </w:rPr>
      </w:pPr>
      <w:proofErr w:type="spellStart"/>
      <w:r w:rsidRPr="002C29C4">
        <w:rPr>
          <w:color w:val="000000"/>
          <w:lang w:val="en-GB"/>
        </w:rPr>
        <w:t>Ejemplo</w:t>
      </w:r>
      <w:proofErr w:type="spellEnd"/>
      <w:r w:rsidRPr="002C29C4">
        <w:rPr>
          <w:color w:val="000000"/>
          <w:lang w:val="en-GB"/>
        </w:rPr>
        <w:t xml:space="preserve">: Smith, T. F., &amp; Waterman, M. S. (1981). Identification of common molecular </w:t>
      </w:r>
      <w:proofErr w:type="spellStart"/>
      <w:r w:rsidRPr="002C29C4">
        <w:rPr>
          <w:color w:val="000000"/>
          <w:lang w:val="en-GB"/>
        </w:rPr>
        <w:t>subsequences</w:t>
      </w:r>
      <w:proofErr w:type="spellEnd"/>
      <w:r w:rsidRPr="002C29C4">
        <w:rPr>
          <w:color w:val="000000"/>
          <w:lang w:val="en-GB"/>
        </w:rPr>
        <w:t xml:space="preserve">. </w:t>
      </w:r>
      <w:proofErr w:type="spellStart"/>
      <w:r>
        <w:rPr>
          <w:color w:val="000000"/>
        </w:rPr>
        <w:t>Journal</w:t>
      </w:r>
      <w:proofErr w:type="spellEnd"/>
      <w:r>
        <w:rPr>
          <w:color w:val="000000"/>
        </w:rPr>
        <w:t xml:space="preserve"> of Molecular </w:t>
      </w:r>
      <w:proofErr w:type="spellStart"/>
      <w:r>
        <w:rPr>
          <w:color w:val="000000"/>
        </w:rPr>
        <w:t>Biology</w:t>
      </w:r>
      <w:proofErr w:type="spellEnd"/>
      <w:r>
        <w:rPr>
          <w:color w:val="000000"/>
        </w:rPr>
        <w:t>, 147(1), 195-197. https://doi.org/10.1016/0022-2836(81)90087-5</w:t>
      </w:r>
    </w:p>
    <w:p w:rsidR="00AA522A" w:rsidRDefault="00201019">
      <w:pPr>
        <w:numPr>
          <w:ilvl w:val="0"/>
          <w:numId w:val="2"/>
        </w:numPr>
        <w:pBdr>
          <w:top w:val="nil"/>
          <w:left w:val="nil"/>
          <w:bottom w:val="nil"/>
          <w:right w:val="nil"/>
          <w:between w:val="nil"/>
        </w:pBdr>
        <w:spacing w:after="0"/>
        <w:ind w:hanging="56"/>
        <w:rPr>
          <w:color w:val="000000"/>
        </w:rPr>
      </w:pPr>
      <w:r>
        <w:rPr>
          <w:color w:val="000000"/>
        </w:rPr>
        <w:t>Book:</w:t>
      </w:r>
    </w:p>
    <w:p w:rsidR="00AA522A" w:rsidRDefault="00201019">
      <w:pPr>
        <w:numPr>
          <w:ilvl w:val="0"/>
          <w:numId w:val="1"/>
        </w:numPr>
        <w:pBdr>
          <w:top w:val="nil"/>
          <w:left w:val="nil"/>
          <w:bottom w:val="nil"/>
          <w:right w:val="nil"/>
          <w:between w:val="nil"/>
        </w:pBdr>
        <w:spacing w:after="0"/>
        <w:rPr>
          <w:color w:val="000000"/>
        </w:rPr>
      </w:pPr>
      <w:proofErr w:type="spellStart"/>
      <w:r w:rsidRPr="002C29C4">
        <w:rPr>
          <w:color w:val="000000"/>
          <w:lang w:val="en-GB"/>
        </w:rPr>
        <w:t>Formato</w:t>
      </w:r>
      <w:proofErr w:type="spellEnd"/>
      <w:r w:rsidRPr="002C29C4">
        <w:rPr>
          <w:color w:val="000000"/>
          <w:lang w:val="en-GB"/>
        </w:rPr>
        <w:t>: Author(s). (Year). Title of the book (Edition, if a</w:t>
      </w:r>
      <w:r w:rsidRPr="002C29C4">
        <w:rPr>
          <w:color w:val="000000"/>
          <w:lang w:val="en-GB"/>
        </w:rPr>
        <w:t xml:space="preserve">pplicable). </w:t>
      </w:r>
      <w:r>
        <w:rPr>
          <w:color w:val="000000"/>
        </w:rPr>
        <w:t>Publisher.</w:t>
      </w:r>
    </w:p>
    <w:p w:rsidR="00AA522A" w:rsidRDefault="00201019">
      <w:pPr>
        <w:numPr>
          <w:ilvl w:val="0"/>
          <w:numId w:val="1"/>
        </w:numPr>
        <w:pBdr>
          <w:top w:val="nil"/>
          <w:left w:val="nil"/>
          <w:bottom w:val="nil"/>
          <w:right w:val="nil"/>
          <w:between w:val="nil"/>
        </w:pBdr>
        <w:rPr>
          <w:color w:val="000000"/>
        </w:rPr>
      </w:pPr>
      <w:proofErr w:type="spellStart"/>
      <w:r w:rsidRPr="002C29C4">
        <w:rPr>
          <w:color w:val="000000"/>
          <w:lang w:val="en-GB"/>
        </w:rPr>
        <w:t>Ejemplo</w:t>
      </w:r>
      <w:proofErr w:type="spellEnd"/>
      <w:r w:rsidRPr="002C29C4">
        <w:rPr>
          <w:color w:val="000000"/>
          <w:lang w:val="en-GB"/>
        </w:rPr>
        <w:t xml:space="preserve">: </w:t>
      </w:r>
      <w:proofErr w:type="spellStart"/>
      <w:r w:rsidRPr="002C29C4">
        <w:rPr>
          <w:color w:val="000000"/>
          <w:lang w:val="en-GB"/>
        </w:rPr>
        <w:t>Michalewicz</w:t>
      </w:r>
      <w:proofErr w:type="spellEnd"/>
      <w:r w:rsidRPr="002C29C4">
        <w:rPr>
          <w:color w:val="000000"/>
          <w:lang w:val="en-GB"/>
        </w:rPr>
        <w:t>, Z. (1996). Genetic Algorithms + Data Structures = Evolution Programs (</w:t>
      </w:r>
      <w:proofErr w:type="gramStart"/>
      <w:r w:rsidRPr="002C29C4">
        <w:rPr>
          <w:color w:val="000000"/>
          <w:lang w:val="en-GB"/>
        </w:rPr>
        <w:t>3rd</w:t>
      </w:r>
      <w:proofErr w:type="gramEnd"/>
      <w:r w:rsidRPr="002C29C4">
        <w:rPr>
          <w:color w:val="000000"/>
          <w:lang w:val="en-GB"/>
        </w:rPr>
        <w:t xml:space="preserve"> ed.). </w:t>
      </w:r>
      <w:proofErr w:type="spellStart"/>
      <w:r>
        <w:rPr>
          <w:color w:val="000000"/>
        </w:rPr>
        <w:t>Springer-Verlag</w:t>
      </w:r>
      <w:proofErr w:type="spellEnd"/>
      <w:r>
        <w:rPr>
          <w:color w:val="000000"/>
        </w:rPr>
        <w:t>.</w:t>
      </w:r>
    </w:p>
    <w:p w:rsidR="00AA522A" w:rsidRDefault="00201019">
      <w:pPr>
        <w:numPr>
          <w:ilvl w:val="0"/>
          <w:numId w:val="2"/>
        </w:numPr>
        <w:pBdr>
          <w:top w:val="nil"/>
          <w:left w:val="nil"/>
          <w:bottom w:val="nil"/>
          <w:right w:val="nil"/>
          <w:between w:val="nil"/>
        </w:pBdr>
        <w:ind w:hanging="56"/>
        <w:rPr>
          <w:color w:val="000000"/>
        </w:rPr>
      </w:pPr>
      <w:r>
        <w:rPr>
          <w:color w:val="000000"/>
        </w:rPr>
        <w:t>Capítulo de libro:</w:t>
      </w:r>
    </w:p>
    <w:p w:rsidR="00AA522A" w:rsidRDefault="00201019">
      <w:pPr>
        <w:numPr>
          <w:ilvl w:val="0"/>
          <w:numId w:val="1"/>
        </w:numPr>
        <w:pBdr>
          <w:top w:val="nil"/>
          <w:left w:val="nil"/>
          <w:bottom w:val="nil"/>
          <w:right w:val="nil"/>
          <w:between w:val="nil"/>
        </w:pBdr>
        <w:spacing w:after="0"/>
        <w:rPr>
          <w:color w:val="000000"/>
        </w:rPr>
      </w:pPr>
      <w:proofErr w:type="spellStart"/>
      <w:r w:rsidRPr="002C29C4">
        <w:rPr>
          <w:color w:val="000000"/>
          <w:lang w:val="en-GB"/>
        </w:rPr>
        <w:t>Formato</w:t>
      </w:r>
      <w:proofErr w:type="spellEnd"/>
      <w:r w:rsidRPr="002C29C4">
        <w:rPr>
          <w:color w:val="000000"/>
          <w:lang w:val="en-GB"/>
        </w:rPr>
        <w:t xml:space="preserve">: Author(s). (Year). Title of the chapter. In Editor(s) (Eds.), Title of the book (pp. page range). </w:t>
      </w:r>
      <w:r>
        <w:rPr>
          <w:color w:val="000000"/>
        </w:rPr>
        <w:t>Publisher.</w:t>
      </w:r>
    </w:p>
    <w:p w:rsidR="00AA522A" w:rsidRDefault="00201019">
      <w:pPr>
        <w:numPr>
          <w:ilvl w:val="0"/>
          <w:numId w:val="1"/>
        </w:numPr>
        <w:pBdr>
          <w:top w:val="nil"/>
          <w:left w:val="nil"/>
          <w:bottom w:val="nil"/>
          <w:right w:val="nil"/>
          <w:between w:val="nil"/>
        </w:pBdr>
        <w:rPr>
          <w:color w:val="000000"/>
        </w:rPr>
      </w:pPr>
      <w:r>
        <w:rPr>
          <w:color w:val="000000"/>
        </w:rPr>
        <w:t xml:space="preserve">Ejemplo: Bruce, K. B., </w:t>
      </w:r>
      <w:proofErr w:type="spellStart"/>
      <w:r>
        <w:rPr>
          <w:color w:val="000000"/>
        </w:rPr>
        <w:t>Cardelli</w:t>
      </w:r>
      <w:proofErr w:type="spellEnd"/>
      <w:r>
        <w:rPr>
          <w:color w:val="000000"/>
        </w:rPr>
        <w:t xml:space="preserve">, L., &amp; Pierce, B. C. (1997). </w:t>
      </w:r>
      <w:r w:rsidRPr="002C29C4">
        <w:rPr>
          <w:color w:val="000000"/>
          <w:lang w:val="en-GB"/>
        </w:rPr>
        <w:t xml:space="preserve">Comparing object encodings. In M. </w:t>
      </w:r>
      <w:proofErr w:type="spellStart"/>
      <w:r w:rsidRPr="002C29C4">
        <w:rPr>
          <w:color w:val="000000"/>
          <w:lang w:val="en-GB"/>
        </w:rPr>
        <w:t>Abadi</w:t>
      </w:r>
      <w:proofErr w:type="spellEnd"/>
      <w:r w:rsidRPr="002C29C4">
        <w:rPr>
          <w:color w:val="000000"/>
          <w:lang w:val="en-GB"/>
        </w:rPr>
        <w:t xml:space="preserve"> &amp; T. Ito (Eds.), Theoretical aspects </w:t>
      </w:r>
      <w:r w:rsidRPr="002C29C4">
        <w:rPr>
          <w:color w:val="000000"/>
          <w:lang w:val="en-GB"/>
        </w:rPr>
        <w:t xml:space="preserve">of computer software (Lecture Notes in Computer Science, Vol. 1281, pp. 415-438). </w:t>
      </w:r>
      <w:proofErr w:type="spellStart"/>
      <w:r>
        <w:rPr>
          <w:color w:val="000000"/>
        </w:rPr>
        <w:t>Springer-Verlag</w:t>
      </w:r>
      <w:proofErr w:type="spellEnd"/>
      <w:r>
        <w:rPr>
          <w:color w:val="000000"/>
        </w:rPr>
        <w:t>.</w:t>
      </w:r>
    </w:p>
    <w:p w:rsidR="00AA522A" w:rsidRDefault="00201019">
      <w:pPr>
        <w:numPr>
          <w:ilvl w:val="0"/>
          <w:numId w:val="2"/>
        </w:numPr>
        <w:pBdr>
          <w:top w:val="nil"/>
          <w:left w:val="nil"/>
          <w:bottom w:val="nil"/>
          <w:right w:val="nil"/>
          <w:between w:val="nil"/>
        </w:pBdr>
        <w:ind w:hanging="56"/>
        <w:rPr>
          <w:color w:val="000000"/>
        </w:rPr>
      </w:pPr>
      <w:r>
        <w:rPr>
          <w:color w:val="000000"/>
        </w:rPr>
        <w:t>Actas de congresos:</w:t>
      </w:r>
    </w:p>
    <w:p w:rsidR="00AA522A" w:rsidRDefault="00201019">
      <w:pPr>
        <w:numPr>
          <w:ilvl w:val="0"/>
          <w:numId w:val="1"/>
        </w:numPr>
        <w:pBdr>
          <w:top w:val="nil"/>
          <w:left w:val="nil"/>
          <w:bottom w:val="nil"/>
          <w:right w:val="nil"/>
          <w:between w:val="nil"/>
        </w:pBdr>
        <w:spacing w:after="0"/>
        <w:rPr>
          <w:color w:val="000000"/>
        </w:rPr>
      </w:pPr>
      <w:proofErr w:type="spellStart"/>
      <w:r w:rsidRPr="002C29C4">
        <w:rPr>
          <w:color w:val="000000"/>
          <w:lang w:val="en-GB"/>
        </w:rPr>
        <w:t>Formato</w:t>
      </w:r>
      <w:proofErr w:type="spellEnd"/>
      <w:r w:rsidRPr="002C29C4">
        <w:rPr>
          <w:color w:val="000000"/>
          <w:lang w:val="en-GB"/>
        </w:rPr>
        <w:t xml:space="preserve">: Author(s). (Year). Title of the paper. In Editor(s) (Eds.), Title of the conference proceedings (pp. page range). </w:t>
      </w:r>
      <w:r>
        <w:rPr>
          <w:color w:val="000000"/>
        </w:rPr>
        <w:t>Publisher.</w:t>
      </w:r>
    </w:p>
    <w:p w:rsidR="00AA522A" w:rsidRDefault="00201019">
      <w:pPr>
        <w:numPr>
          <w:ilvl w:val="0"/>
          <w:numId w:val="1"/>
        </w:numPr>
        <w:pBdr>
          <w:top w:val="nil"/>
          <w:left w:val="nil"/>
          <w:bottom w:val="nil"/>
          <w:right w:val="nil"/>
          <w:between w:val="nil"/>
        </w:pBdr>
        <w:rPr>
          <w:color w:val="000000"/>
        </w:rPr>
      </w:pPr>
      <w:proofErr w:type="spellStart"/>
      <w:r w:rsidRPr="002C29C4">
        <w:rPr>
          <w:color w:val="000000"/>
          <w:lang w:val="en-GB"/>
        </w:rPr>
        <w:lastRenderedPageBreak/>
        <w:t>Eje</w:t>
      </w:r>
      <w:r w:rsidRPr="002C29C4">
        <w:rPr>
          <w:color w:val="000000"/>
          <w:lang w:val="en-GB"/>
        </w:rPr>
        <w:t>mplo</w:t>
      </w:r>
      <w:proofErr w:type="spellEnd"/>
      <w:r w:rsidRPr="002C29C4">
        <w:rPr>
          <w:color w:val="000000"/>
          <w:lang w:val="en-GB"/>
        </w:rPr>
        <w:t xml:space="preserve">: </w:t>
      </w:r>
      <w:proofErr w:type="spellStart"/>
      <w:r w:rsidRPr="002C29C4">
        <w:rPr>
          <w:color w:val="000000"/>
          <w:lang w:val="en-GB"/>
        </w:rPr>
        <w:t>Czajkowski</w:t>
      </w:r>
      <w:proofErr w:type="spellEnd"/>
      <w:r w:rsidRPr="002C29C4">
        <w:rPr>
          <w:color w:val="000000"/>
          <w:lang w:val="en-GB"/>
        </w:rPr>
        <w:t xml:space="preserve">, K., Fitzgerald, S., Foster, I., &amp; </w:t>
      </w:r>
      <w:proofErr w:type="spellStart"/>
      <w:r w:rsidRPr="002C29C4">
        <w:rPr>
          <w:color w:val="000000"/>
          <w:lang w:val="en-GB"/>
        </w:rPr>
        <w:t>Kesselman</w:t>
      </w:r>
      <w:proofErr w:type="spellEnd"/>
      <w:r w:rsidRPr="002C29C4">
        <w:rPr>
          <w:color w:val="000000"/>
          <w:lang w:val="en-GB"/>
        </w:rPr>
        <w:t xml:space="preserve">, C. (2001). Grid information services for distributed resource sharing. In 10th </w:t>
      </w:r>
      <w:proofErr w:type="gramStart"/>
      <w:r w:rsidRPr="002C29C4">
        <w:rPr>
          <w:color w:val="000000"/>
          <w:lang w:val="en-GB"/>
        </w:rPr>
        <w:t>IEEE</w:t>
      </w:r>
      <w:proofErr w:type="gramEnd"/>
      <w:r w:rsidRPr="002C29C4">
        <w:rPr>
          <w:color w:val="000000"/>
          <w:lang w:val="en-GB"/>
        </w:rPr>
        <w:t xml:space="preserve"> International Symposium on High Performance Distributed Computing (pp. 181-184). </w:t>
      </w:r>
      <w:r>
        <w:rPr>
          <w:color w:val="000000"/>
        </w:rPr>
        <w:t xml:space="preserve">IEEE </w:t>
      </w:r>
      <w:proofErr w:type="spellStart"/>
      <w:r>
        <w:rPr>
          <w:color w:val="000000"/>
        </w:rPr>
        <w:t>Press</w:t>
      </w:r>
      <w:proofErr w:type="spellEnd"/>
      <w:r>
        <w:rPr>
          <w:color w:val="000000"/>
        </w:rPr>
        <w:t>.</w:t>
      </w:r>
    </w:p>
    <w:p w:rsidR="00AA522A" w:rsidRDefault="00201019">
      <w:pPr>
        <w:numPr>
          <w:ilvl w:val="0"/>
          <w:numId w:val="2"/>
        </w:numPr>
        <w:pBdr>
          <w:top w:val="nil"/>
          <w:left w:val="nil"/>
          <w:bottom w:val="nil"/>
          <w:right w:val="nil"/>
          <w:between w:val="nil"/>
        </w:pBdr>
        <w:ind w:hanging="56"/>
        <w:rPr>
          <w:color w:val="000000"/>
        </w:rPr>
      </w:pPr>
      <w:r>
        <w:rPr>
          <w:color w:val="000000"/>
        </w:rPr>
        <w:t>Informes técnico</w:t>
      </w:r>
      <w:r>
        <w:rPr>
          <w:color w:val="000000"/>
        </w:rPr>
        <w:t>s:</w:t>
      </w:r>
    </w:p>
    <w:p w:rsidR="00AA522A" w:rsidRDefault="00201019">
      <w:pPr>
        <w:numPr>
          <w:ilvl w:val="0"/>
          <w:numId w:val="1"/>
        </w:numPr>
        <w:pBdr>
          <w:top w:val="nil"/>
          <w:left w:val="nil"/>
          <w:bottom w:val="nil"/>
          <w:right w:val="nil"/>
          <w:between w:val="nil"/>
        </w:pBdr>
        <w:spacing w:after="0"/>
        <w:rPr>
          <w:color w:val="000000"/>
        </w:rPr>
      </w:pPr>
      <w:proofErr w:type="spellStart"/>
      <w:r w:rsidRPr="002C29C4">
        <w:rPr>
          <w:color w:val="000000"/>
          <w:lang w:val="en-GB"/>
        </w:rPr>
        <w:t>Formato</w:t>
      </w:r>
      <w:proofErr w:type="spellEnd"/>
      <w:r w:rsidRPr="002C29C4">
        <w:rPr>
          <w:color w:val="000000"/>
          <w:lang w:val="en-GB"/>
        </w:rPr>
        <w:t xml:space="preserve">: Author(s). (Year). Title of the report (Report No. if applicable). </w:t>
      </w:r>
      <w:proofErr w:type="spellStart"/>
      <w:r>
        <w:rPr>
          <w:color w:val="000000"/>
        </w:rPr>
        <w:t>Institution</w:t>
      </w:r>
      <w:proofErr w:type="spellEnd"/>
      <w:r>
        <w:rPr>
          <w:color w:val="000000"/>
        </w:rPr>
        <w:t xml:space="preserve"> </w:t>
      </w:r>
      <w:proofErr w:type="spellStart"/>
      <w:r>
        <w:rPr>
          <w:color w:val="000000"/>
        </w:rPr>
        <w:t>Name</w:t>
      </w:r>
      <w:proofErr w:type="spellEnd"/>
      <w:r>
        <w:rPr>
          <w:color w:val="000000"/>
        </w:rPr>
        <w:t>.</w:t>
      </w:r>
    </w:p>
    <w:p w:rsidR="00AA522A" w:rsidRDefault="00201019">
      <w:pPr>
        <w:numPr>
          <w:ilvl w:val="0"/>
          <w:numId w:val="1"/>
        </w:numPr>
        <w:pBdr>
          <w:top w:val="nil"/>
          <w:left w:val="nil"/>
          <w:bottom w:val="nil"/>
          <w:right w:val="nil"/>
          <w:between w:val="nil"/>
        </w:pBdr>
        <w:rPr>
          <w:color w:val="000000"/>
        </w:rPr>
      </w:pPr>
      <w:proofErr w:type="spellStart"/>
      <w:r w:rsidRPr="002C29C4">
        <w:rPr>
          <w:color w:val="000000"/>
          <w:lang w:val="en-GB"/>
        </w:rPr>
        <w:t>Ejemplo</w:t>
      </w:r>
      <w:proofErr w:type="spellEnd"/>
      <w:r w:rsidRPr="002C29C4">
        <w:rPr>
          <w:color w:val="000000"/>
          <w:lang w:val="en-GB"/>
        </w:rPr>
        <w:t xml:space="preserve">: Foster, I., </w:t>
      </w:r>
      <w:proofErr w:type="spellStart"/>
      <w:r w:rsidRPr="002C29C4">
        <w:rPr>
          <w:color w:val="000000"/>
          <w:lang w:val="en-GB"/>
        </w:rPr>
        <w:t>Kesselman</w:t>
      </w:r>
      <w:proofErr w:type="spellEnd"/>
      <w:r w:rsidRPr="002C29C4">
        <w:rPr>
          <w:color w:val="000000"/>
          <w:lang w:val="en-GB"/>
        </w:rPr>
        <w:t xml:space="preserve">, C., Nick, J., &amp; </w:t>
      </w:r>
      <w:proofErr w:type="spellStart"/>
      <w:r w:rsidRPr="002C29C4">
        <w:rPr>
          <w:color w:val="000000"/>
          <w:lang w:val="en-GB"/>
        </w:rPr>
        <w:t>Tuecke</w:t>
      </w:r>
      <w:proofErr w:type="spellEnd"/>
      <w:r w:rsidRPr="002C29C4">
        <w:rPr>
          <w:color w:val="000000"/>
          <w:lang w:val="en-GB"/>
        </w:rPr>
        <w:t>, S. (2002). The physiology of the grid: an open grid services architecture for distributed systems integ</w:t>
      </w:r>
      <w:r w:rsidRPr="002C29C4">
        <w:rPr>
          <w:color w:val="000000"/>
          <w:lang w:val="en-GB"/>
        </w:rPr>
        <w:t xml:space="preserve">ration (Technical report). </w:t>
      </w:r>
      <w:r>
        <w:rPr>
          <w:color w:val="000000"/>
        </w:rPr>
        <w:t xml:space="preserve">Global </w:t>
      </w:r>
      <w:proofErr w:type="spellStart"/>
      <w:r>
        <w:rPr>
          <w:color w:val="000000"/>
        </w:rPr>
        <w:t>Grid</w:t>
      </w:r>
      <w:proofErr w:type="spellEnd"/>
      <w:r>
        <w:rPr>
          <w:color w:val="000000"/>
        </w:rPr>
        <w:t xml:space="preserve"> </w:t>
      </w:r>
      <w:proofErr w:type="spellStart"/>
      <w:r>
        <w:rPr>
          <w:color w:val="000000"/>
        </w:rPr>
        <w:t>Forum</w:t>
      </w:r>
      <w:proofErr w:type="spellEnd"/>
      <w:r>
        <w:rPr>
          <w:color w:val="000000"/>
        </w:rPr>
        <w:t>.</w:t>
      </w:r>
    </w:p>
    <w:p w:rsidR="00AA522A" w:rsidRDefault="00201019">
      <w:pPr>
        <w:numPr>
          <w:ilvl w:val="0"/>
          <w:numId w:val="2"/>
        </w:numPr>
        <w:pBdr>
          <w:top w:val="nil"/>
          <w:left w:val="nil"/>
          <w:bottom w:val="nil"/>
          <w:right w:val="nil"/>
          <w:between w:val="nil"/>
        </w:pBdr>
        <w:ind w:hanging="56"/>
        <w:rPr>
          <w:color w:val="000000"/>
        </w:rPr>
      </w:pPr>
      <w:r>
        <w:rPr>
          <w:color w:val="000000"/>
        </w:rPr>
        <w:t>Sitios web:</w:t>
      </w:r>
    </w:p>
    <w:p w:rsidR="00AA522A" w:rsidRPr="002C29C4" w:rsidRDefault="00201019">
      <w:pPr>
        <w:numPr>
          <w:ilvl w:val="0"/>
          <w:numId w:val="1"/>
        </w:numPr>
        <w:pBdr>
          <w:top w:val="nil"/>
          <w:left w:val="nil"/>
          <w:bottom w:val="nil"/>
          <w:right w:val="nil"/>
          <w:between w:val="nil"/>
        </w:pBdr>
        <w:rPr>
          <w:color w:val="000000"/>
          <w:lang w:val="en-GB"/>
        </w:rPr>
      </w:pPr>
      <w:proofErr w:type="spellStart"/>
      <w:r w:rsidRPr="002C29C4">
        <w:rPr>
          <w:color w:val="000000"/>
          <w:lang w:val="en-GB"/>
        </w:rPr>
        <w:t>Formato</w:t>
      </w:r>
      <w:proofErr w:type="spellEnd"/>
      <w:r w:rsidRPr="002C29C4">
        <w:rPr>
          <w:color w:val="000000"/>
          <w:lang w:val="en-GB"/>
        </w:rPr>
        <w:t>: Organization Name. (Year, Month Day). Title of the webpage. Website URL.</w:t>
      </w:r>
    </w:p>
    <w:p w:rsidR="00AA522A" w:rsidRPr="002C29C4" w:rsidRDefault="00201019">
      <w:pPr>
        <w:rPr>
          <w:lang w:val="en-GB"/>
        </w:rPr>
      </w:pPr>
      <w:proofErr w:type="spellStart"/>
      <w:r w:rsidRPr="002C29C4">
        <w:rPr>
          <w:lang w:val="en-GB"/>
        </w:rPr>
        <w:t>Ejemplo</w:t>
      </w:r>
      <w:proofErr w:type="spellEnd"/>
      <w:r w:rsidRPr="002C29C4">
        <w:rPr>
          <w:lang w:val="en-GB"/>
        </w:rPr>
        <w:t xml:space="preserve">: National </w:t>
      </w:r>
      <w:proofErr w:type="spellStart"/>
      <w:r w:rsidRPr="002C29C4">
        <w:rPr>
          <w:lang w:val="en-GB"/>
        </w:rPr>
        <w:t>Center</w:t>
      </w:r>
      <w:proofErr w:type="spellEnd"/>
      <w:r w:rsidRPr="002C29C4">
        <w:rPr>
          <w:lang w:val="en-GB"/>
        </w:rPr>
        <w:t xml:space="preserve"> for Biotechnology Information. (</w:t>
      </w:r>
      <w:proofErr w:type="spellStart"/>
      <w:r w:rsidRPr="002C29C4">
        <w:rPr>
          <w:lang w:val="en-GB"/>
        </w:rPr>
        <w:t>n.d.</w:t>
      </w:r>
      <w:proofErr w:type="spellEnd"/>
      <w:r w:rsidRPr="002C29C4">
        <w:rPr>
          <w:lang w:val="en-GB"/>
        </w:rPr>
        <w:t>). Retrieved March 15, 2024, from http://www.ncbi.nlm.n</w:t>
      </w:r>
      <w:r w:rsidRPr="002C29C4">
        <w:rPr>
          <w:lang w:val="en-GB"/>
        </w:rPr>
        <w:t>ih.gov</w:t>
      </w:r>
    </w:p>
    <w:p w:rsidR="00AA522A" w:rsidRDefault="00201019">
      <w:r>
        <w:t>Ejemplo de Referencias:</w:t>
      </w:r>
    </w:p>
    <w:p w:rsidR="00AA522A" w:rsidRPr="002C29C4" w:rsidRDefault="00201019">
      <w:pPr>
        <w:pBdr>
          <w:top w:val="nil"/>
          <w:left w:val="nil"/>
          <w:bottom w:val="nil"/>
          <w:right w:val="nil"/>
          <w:between w:val="nil"/>
        </w:pBdr>
        <w:spacing w:after="80"/>
        <w:ind w:left="227"/>
        <w:rPr>
          <w:color w:val="000000"/>
          <w:sz w:val="18"/>
          <w:szCs w:val="18"/>
          <w:lang w:val="en-GB"/>
        </w:rPr>
      </w:pPr>
      <w:r>
        <w:rPr>
          <w:color w:val="000000"/>
          <w:sz w:val="18"/>
          <w:szCs w:val="18"/>
        </w:rPr>
        <w:t xml:space="preserve">Baldonado, M., Chang, C.-C. K., </w:t>
      </w:r>
      <w:proofErr w:type="spellStart"/>
      <w:r>
        <w:rPr>
          <w:color w:val="000000"/>
          <w:sz w:val="18"/>
          <w:szCs w:val="18"/>
        </w:rPr>
        <w:t>Gravano</w:t>
      </w:r>
      <w:proofErr w:type="spellEnd"/>
      <w:r>
        <w:rPr>
          <w:color w:val="000000"/>
          <w:sz w:val="18"/>
          <w:szCs w:val="18"/>
        </w:rPr>
        <w:t xml:space="preserve">, L., &amp; </w:t>
      </w:r>
      <w:proofErr w:type="spellStart"/>
      <w:r>
        <w:rPr>
          <w:color w:val="000000"/>
          <w:sz w:val="18"/>
          <w:szCs w:val="18"/>
        </w:rPr>
        <w:t>Paepcke</w:t>
      </w:r>
      <w:proofErr w:type="spellEnd"/>
      <w:r>
        <w:rPr>
          <w:color w:val="000000"/>
          <w:sz w:val="18"/>
          <w:szCs w:val="18"/>
        </w:rPr>
        <w:t xml:space="preserve">, A. (1997). </w:t>
      </w:r>
      <w:r w:rsidRPr="002C29C4">
        <w:rPr>
          <w:color w:val="000000"/>
          <w:sz w:val="18"/>
          <w:szCs w:val="18"/>
          <w:lang w:val="en-GB"/>
        </w:rPr>
        <w:t>The Stanford Digital Library Metadata Architecture. International Journal on Digital Libraries, 1(2), 108-122.</w:t>
      </w:r>
    </w:p>
    <w:p w:rsidR="00AA522A" w:rsidRPr="002C29C4" w:rsidRDefault="00201019">
      <w:pPr>
        <w:pBdr>
          <w:top w:val="nil"/>
          <w:left w:val="nil"/>
          <w:bottom w:val="nil"/>
          <w:right w:val="nil"/>
          <w:between w:val="nil"/>
        </w:pBdr>
        <w:spacing w:after="80"/>
        <w:ind w:left="227"/>
        <w:rPr>
          <w:color w:val="000000"/>
          <w:sz w:val="18"/>
          <w:szCs w:val="18"/>
          <w:lang w:val="en-GB"/>
        </w:rPr>
      </w:pPr>
      <w:r w:rsidRPr="002C29C4">
        <w:rPr>
          <w:color w:val="000000"/>
          <w:sz w:val="18"/>
          <w:szCs w:val="18"/>
          <w:lang w:val="en-GB"/>
        </w:rPr>
        <w:t xml:space="preserve">Bruce, K. B., </w:t>
      </w:r>
      <w:proofErr w:type="spellStart"/>
      <w:r w:rsidRPr="002C29C4">
        <w:rPr>
          <w:color w:val="000000"/>
          <w:sz w:val="18"/>
          <w:szCs w:val="18"/>
          <w:lang w:val="en-GB"/>
        </w:rPr>
        <w:t>Cardelli</w:t>
      </w:r>
      <w:proofErr w:type="spellEnd"/>
      <w:r w:rsidRPr="002C29C4">
        <w:rPr>
          <w:color w:val="000000"/>
          <w:sz w:val="18"/>
          <w:szCs w:val="18"/>
          <w:lang w:val="en-GB"/>
        </w:rPr>
        <w:t xml:space="preserve">, L., &amp; Pierce, B. C. (1997). Comparing object encodings. In M. </w:t>
      </w:r>
      <w:proofErr w:type="spellStart"/>
      <w:r w:rsidRPr="002C29C4">
        <w:rPr>
          <w:color w:val="000000"/>
          <w:sz w:val="18"/>
          <w:szCs w:val="18"/>
          <w:lang w:val="en-GB"/>
        </w:rPr>
        <w:t>Abadi</w:t>
      </w:r>
      <w:proofErr w:type="spellEnd"/>
      <w:r w:rsidRPr="002C29C4">
        <w:rPr>
          <w:color w:val="000000"/>
          <w:sz w:val="18"/>
          <w:szCs w:val="18"/>
          <w:lang w:val="en-GB"/>
        </w:rPr>
        <w:t xml:space="preserve"> &amp; T. Ito (Eds.), Theoretical aspects of computer software (Lecture Notes in Computer Science, Vol. 1281, pp. 415-438). Springer-</w:t>
      </w:r>
      <w:proofErr w:type="spellStart"/>
      <w:r w:rsidRPr="002C29C4">
        <w:rPr>
          <w:color w:val="000000"/>
          <w:sz w:val="18"/>
          <w:szCs w:val="18"/>
          <w:lang w:val="en-GB"/>
        </w:rPr>
        <w:t>Verlag</w:t>
      </w:r>
      <w:proofErr w:type="spellEnd"/>
      <w:r w:rsidRPr="002C29C4">
        <w:rPr>
          <w:color w:val="000000"/>
          <w:sz w:val="18"/>
          <w:szCs w:val="18"/>
          <w:lang w:val="en-GB"/>
        </w:rPr>
        <w:t>.</w:t>
      </w:r>
    </w:p>
    <w:p w:rsidR="00AA522A" w:rsidRPr="002C29C4" w:rsidRDefault="00201019">
      <w:pPr>
        <w:pBdr>
          <w:top w:val="nil"/>
          <w:left w:val="nil"/>
          <w:bottom w:val="nil"/>
          <w:right w:val="nil"/>
          <w:between w:val="nil"/>
        </w:pBdr>
        <w:spacing w:after="80"/>
        <w:ind w:left="227"/>
        <w:rPr>
          <w:color w:val="000000"/>
          <w:sz w:val="18"/>
          <w:szCs w:val="18"/>
          <w:lang w:val="en-GB"/>
        </w:rPr>
      </w:pPr>
      <w:r w:rsidRPr="002C29C4">
        <w:rPr>
          <w:color w:val="000000"/>
          <w:sz w:val="18"/>
          <w:szCs w:val="18"/>
          <w:lang w:val="en-GB"/>
        </w:rPr>
        <w:t xml:space="preserve">Van </w:t>
      </w:r>
      <w:proofErr w:type="spellStart"/>
      <w:r w:rsidRPr="002C29C4">
        <w:rPr>
          <w:color w:val="000000"/>
          <w:sz w:val="18"/>
          <w:szCs w:val="18"/>
          <w:lang w:val="en-GB"/>
        </w:rPr>
        <w:t>Leeuwen</w:t>
      </w:r>
      <w:proofErr w:type="spellEnd"/>
      <w:r w:rsidRPr="002C29C4">
        <w:rPr>
          <w:color w:val="000000"/>
          <w:sz w:val="18"/>
          <w:szCs w:val="18"/>
          <w:lang w:val="en-GB"/>
        </w:rPr>
        <w:t>, J. (Ed.). (1995</w:t>
      </w:r>
      <w:r w:rsidRPr="002C29C4">
        <w:rPr>
          <w:color w:val="000000"/>
          <w:sz w:val="18"/>
          <w:szCs w:val="18"/>
          <w:lang w:val="en-GB"/>
        </w:rPr>
        <w:t>). Computer science today: Recent trends and developments (Lecture Notes in Computer Science, Vol. 1000). Springer-</w:t>
      </w:r>
      <w:proofErr w:type="spellStart"/>
      <w:r w:rsidRPr="002C29C4">
        <w:rPr>
          <w:color w:val="000000"/>
          <w:sz w:val="18"/>
          <w:szCs w:val="18"/>
          <w:lang w:val="en-GB"/>
        </w:rPr>
        <w:t>Verlag</w:t>
      </w:r>
      <w:proofErr w:type="spellEnd"/>
      <w:r w:rsidRPr="002C29C4">
        <w:rPr>
          <w:color w:val="000000"/>
          <w:sz w:val="18"/>
          <w:szCs w:val="18"/>
          <w:lang w:val="en-GB"/>
        </w:rPr>
        <w:t>.</w:t>
      </w:r>
    </w:p>
    <w:p w:rsidR="00AA522A" w:rsidRPr="002C29C4" w:rsidRDefault="00201019">
      <w:pPr>
        <w:pBdr>
          <w:top w:val="nil"/>
          <w:left w:val="nil"/>
          <w:bottom w:val="nil"/>
          <w:right w:val="nil"/>
          <w:between w:val="nil"/>
        </w:pBdr>
        <w:spacing w:after="80"/>
        <w:ind w:left="227"/>
        <w:rPr>
          <w:color w:val="000000"/>
          <w:sz w:val="18"/>
          <w:szCs w:val="18"/>
          <w:lang w:val="en-GB"/>
        </w:rPr>
      </w:pPr>
      <w:proofErr w:type="spellStart"/>
      <w:r w:rsidRPr="002C29C4">
        <w:rPr>
          <w:color w:val="000000"/>
          <w:sz w:val="18"/>
          <w:szCs w:val="18"/>
          <w:lang w:val="en-GB"/>
        </w:rPr>
        <w:t>Michalewicz</w:t>
      </w:r>
      <w:proofErr w:type="spellEnd"/>
      <w:r w:rsidRPr="002C29C4">
        <w:rPr>
          <w:color w:val="000000"/>
          <w:sz w:val="18"/>
          <w:szCs w:val="18"/>
          <w:lang w:val="en-GB"/>
        </w:rPr>
        <w:t>, Z. (1996). Genetic algorithms + data structures = evolution programs (</w:t>
      </w:r>
      <w:proofErr w:type="gramStart"/>
      <w:r w:rsidRPr="002C29C4">
        <w:rPr>
          <w:color w:val="000000"/>
          <w:sz w:val="18"/>
          <w:szCs w:val="18"/>
          <w:lang w:val="en-GB"/>
        </w:rPr>
        <w:t>3rd</w:t>
      </w:r>
      <w:proofErr w:type="gramEnd"/>
      <w:r w:rsidRPr="002C29C4">
        <w:rPr>
          <w:color w:val="000000"/>
          <w:sz w:val="18"/>
          <w:szCs w:val="18"/>
          <w:lang w:val="en-GB"/>
        </w:rPr>
        <w:t xml:space="preserve"> ed.). Springer-</w:t>
      </w:r>
      <w:proofErr w:type="spellStart"/>
      <w:r w:rsidRPr="002C29C4">
        <w:rPr>
          <w:color w:val="000000"/>
          <w:sz w:val="18"/>
          <w:szCs w:val="18"/>
          <w:lang w:val="en-GB"/>
        </w:rPr>
        <w:t>Verlag</w:t>
      </w:r>
      <w:proofErr w:type="spellEnd"/>
      <w:r w:rsidRPr="002C29C4">
        <w:rPr>
          <w:color w:val="000000"/>
          <w:sz w:val="18"/>
          <w:szCs w:val="18"/>
          <w:lang w:val="en-GB"/>
        </w:rPr>
        <w:t>.</w:t>
      </w:r>
    </w:p>
    <w:p w:rsidR="00AA522A" w:rsidRPr="002C29C4" w:rsidRDefault="00201019">
      <w:pPr>
        <w:pBdr>
          <w:top w:val="nil"/>
          <w:left w:val="nil"/>
          <w:bottom w:val="nil"/>
          <w:right w:val="nil"/>
          <w:between w:val="nil"/>
        </w:pBdr>
        <w:spacing w:after="80"/>
        <w:ind w:left="227"/>
        <w:rPr>
          <w:color w:val="000000"/>
          <w:sz w:val="18"/>
          <w:szCs w:val="18"/>
          <w:lang w:val="en-GB"/>
        </w:rPr>
      </w:pPr>
      <w:r w:rsidRPr="002C29C4">
        <w:rPr>
          <w:color w:val="000000"/>
          <w:sz w:val="18"/>
          <w:szCs w:val="18"/>
          <w:lang w:val="en-GB"/>
        </w:rPr>
        <w:t>Smith, T. F., &amp; Waterma</w:t>
      </w:r>
      <w:r w:rsidRPr="002C29C4">
        <w:rPr>
          <w:color w:val="000000"/>
          <w:sz w:val="18"/>
          <w:szCs w:val="18"/>
          <w:lang w:val="en-GB"/>
        </w:rPr>
        <w:t xml:space="preserve">n, M. S. (1981). Identification of common molecular </w:t>
      </w:r>
      <w:proofErr w:type="spellStart"/>
      <w:r w:rsidRPr="002C29C4">
        <w:rPr>
          <w:color w:val="000000"/>
          <w:sz w:val="18"/>
          <w:szCs w:val="18"/>
          <w:lang w:val="en-GB"/>
        </w:rPr>
        <w:t>subsequences</w:t>
      </w:r>
      <w:proofErr w:type="spellEnd"/>
      <w:r w:rsidRPr="002C29C4">
        <w:rPr>
          <w:color w:val="000000"/>
          <w:sz w:val="18"/>
          <w:szCs w:val="18"/>
          <w:lang w:val="en-GB"/>
        </w:rPr>
        <w:t>. Journal of Molecular Biology, 147(1), 195-197. https://doi.org/10.1016/0022-</w:t>
      </w:r>
      <w:proofErr w:type="gramStart"/>
      <w:r w:rsidRPr="002C29C4">
        <w:rPr>
          <w:color w:val="000000"/>
          <w:sz w:val="18"/>
          <w:szCs w:val="18"/>
          <w:lang w:val="en-GB"/>
        </w:rPr>
        <w:t>2836(</w:t>
      </w:r>
      <w:proofErr w:type="gramEnd"/>
      <w:r w:rsidRPr="002C29C4">
        <w:rPr>
          <w:color w:val="000000"/>
          <w:sz w:val="18"/>
          <w:szCs w:val="18"/>
          <w:lang w:val="en-GB"/>
        </w:rPr>
        <w:t>81)90087-5</w:t>
      </w:r>
    </w:p>
    <w:p w:rsidR="00AA522A" w:rsidRPr="002C29C4" w:rsidRDefault="00201019">
      <w:pPr>
        <w:pBdr>
          <w:top w:val="nil"/>
          <w:left w:val="nil"/>
          <w:bottom w:val="nil"/>
          <w:right w:val="nil"/>
          <w:between w:val="nil"/>
        </w:pBdr>
        <w:spacing w:after="80"/>
        <w:ind w:left="227"/>
        <w:rPr>
          <w:color w:val="000000"/>
          <w:sz w:val="18"/>
          <w:szCs w:val="18"/>
          <w:lang w:val="en-GB"/>
        </w:rPr>
      </w:pPr>
      <w:r w:rsidRPr="002C29C4">
        <w:rPr>
          <w:color w:val="000000"/>
          <w:sz w:val="18"/>
          <w:szCs w:val="18"/>
          <w:lang w:val="en-GB"/>
        </w:rPr>
        <w:t>May, P., Ehrlich, H. C., &amp; Steinke, T. (2006). ZIB structure prediction pipeline: Composing a comp</w:t>
      </w:r>
      <w:r w:rsidRPr="002C29C4">
        <w:rPr>
          <w:color w:val="000000"/>
          <w:sz w:val="18"/>
          <w:szCs w:val="18"/>
          <w:lang w:val="en-GB"/>
        </w:rPr>
        <w:t xml:space="preserve">lex biological workflow through web services. In W. E. Nagel, W. V. Walter, &amp; W. </w:t>
      </w:r>
      <w:proofErr w:type="spellStart"/>
      <w:r w:rsidRPr="002C29C4">
        <w:rPr>
          <w:color w:val="000000"/>
          <w:sz w:val="18"/>
          <w:szCs w:val="18"/>
          <w:lang w:val="en-GB"/>
        </w:rPr>
        <w:t>Lehner</w:t>
      </w:r>
      <w:proofErr w:type="spellEnd"/>
      <w:r w:rsidRPr="002C29C4">
        <w:rPr>
          <w:color w:val="000000"/>
          <w:sz w:val="18"/>
          <w:szCs w:val="18"/>
          <w:lang w:val="en-GB"/>
        </w:rPr>
        <w:t xml:space="preserve"> (Eds.), Euro-Par 2006 (Lecture Notes in Computer Science, Vol. 4128, pp. 1148-1158). Springer.</w:t>
      </w:r>
    </w:p>
    <w:p w:rsidR="00AA522A" w:rsidRPr="002C29C4" w:rsidRDefault="00201019">
      <w:pPr>
        <w:pBdr>
          <w:top w:val="nil"/>
          <w:left w:val="nil"/>
          <w:bottom w:val="nil"/>
          <w:right w:val="nil"/>
          <w:between w:val="nil"/>
        </w:pBdr>
        <w:spacing w:after="80"/>
        <w:ind w:left="227"/>
        <w:rPr>
          <w:color w:val="000000"/>
          <w:sz w:val="18"/>
          <w:szCs w:val="18"/>
          <w:lang w:val="en-GB"/>
        </w:rPr>
      </w:pPr>
      <w:r w:rsidRPr="002C29C4">
        <w:rPr>
          <w:color w:val="000000"/>
          <w:sz w:val="18"/>
          <w:szCs w:val="18"/>
          <w:lang w:val="en-GB"/>
        </w:rPr>
        <w:lastRenderedPageBreak/>
        <w:t xml:space="preserve">Foster, I., &amp; </w:t>
      </w:r>
      <w:proofErr w:type="spellStart"/>
      <w:r w:rsidRPr="002C29C4">
        <w:rPr>
          <w:color w:val="000000"/>
          <w:sz w:val="18"/>
          <w:szCs w:val="18"/>
          <w:lang w:val="en-GB"/>
        </w:rPr>
        <w:t>Kesselman</w:t>
      </w:r>
      <w:proofErr w:type="spellEnd"/>
      <w:r w:rsidRPr="002C29C4">
        <w:rPr>
          <w:color w:val="000000"/>
          <w:sz w:val="18"/>
          <w:szCs w:val="18"/>
          <w:lang w:val="en-GB"/>
        </w:rPr>
        <w:t>, C. (1999). The grid: Blueprint for a new computi</w:t>
      </w:r>
      <w:r w:rsidRPr="002C29C4">
        <w:rPr>
          <w:color w:val="000000"/>
          <w:sz w:val="18"/>
          <w:szCs w:val="18"/>
          <w:lang w:val="en-GB"/>
        </w:rPr>
        <w:t>ng infrastructure. Morgan Kaufmann.</w:t>
      </w:r>
    </w:p>
    <w:p w:rsidR="00AA522A" w:rsidRPr="002C29C4" w:rsidRDefault="00201019">
      <w:pPr>
        <w:pBdr>
          <w:top w:val="nil"/>
          <w:left w:val="nil"/>
          <w:bottom w:val="nil"/>
          <w:right w:val="nil"/>
          <w:between w:val="nil"/>
        </w:pBdr>
        <w:spacing w:after="80"/>
        <w:ind w:left="227"/>
        <w:rPr>
          <w:color w:val="000000"/>
          <w:sz w:val="18"/>
          <w:szCs w:val="18"/>
          <w:lang w:val="en-GB"/>
        </w:rPr>
      </w:pPr>
      <w:proofErr w:type="spellStart"/>
      <w:r w:rsidRPr="002C29C4">
        <w:rPr>
          <w:color w:val="000000"/>
          <w:sz w:val="18"/>
          <w:szCs w:val="18"/>
          <w:lang w:val="en-GB"/>
        </w:rPr>
        <w:t>Czajkowski</w:t>
      </w:r>
      <w:proofErr w:type="spellEnd"/>
      <w:r w:rsidRPr="002C29C4">
        <w:rPr>
          <w:color w:val="000000"/>
          <w:sz w:val="18"/>
          <w:szCs w:val="18"/>
          <w:lang w:val="en-GB"/>
        </w:rPr>
        <w:t xml:space="preserve">, K., Fitzgerald, S., Foster, I., &amp; </w:t>
      </w:r>
      <w:proofErr w:type="spellStart"/>
      <w:r w:rsidRPr="002C29C4">
        <w:rPr>
          <w:color w:val="000000"/>
          <w:sz w:val="18"/>
          <w:szCs w:val="18"/>
          <w:lang w:val="en-GB"/>
        </w:rPr>
        <w:t>Kesselman</w:t>
      </w:r>
      <w:proofErr w:type="spellEnd"/>
      <w:r w:rsidRPr="002C29C4">
        <w:rPr>
          <w:color w:val="000000"/>
          <w:sz w:val="18"/>
          <w:szCs w:val="18"/>
          <w:lang w:val="en-GB"/>
        </w:rPr>
        <w:t xml:space="preserve">, C. (2001). Grid information services for distributed resource sharing. In 10th </w:t>
      </w:r>
      <w:proofErr w:type="gramStart"/>
      <w:r w:rsidRPr="002C29C4">
        <w:rPr>
          <w:color w:val="000000"/>
          <w:sz w:val="18"/>
          <w:szCs w:val="18"/>
          <w:lang w:val="en-GB"/>
        </w:rPr>
        <w:t>IEEE</w:t>
      </w:r>
      <w:proofErr w:type="gramEnd"/>
      <w:r w:rsidRPr="002C29C4">
        <w:rPr>
          <w:color w:val="000000"/>
          <w:sz w:val="18"/>
          <w:szCs w:val="18"/>
          <w:lang w:val="en-GB"/>
        </w:rPr>
        <w:t xml:space="preserve"> International Symposium on High Performance Distributed Computing (pp. 181-184)</w:t>
      </w:r>
      <w:r w:rsidRPr="002C29C4">
        <w:rPr>
          <w:color w:val="000000"/>
          <w:sz w:val="18"/>
          <w:szCs w:val="18"/>
          <w:lang w:val="en-GB"/>
        </w:rPr>
        <w:t>. IEEE Press.</w:t>
      </w:r>
    </w:p>
    <w:p w:rsidR="00AA522A" w:rsidRPr="002C29C4" w:rsidRDefault="00201019">
      <w:pPr>
        <w:pBdr>
          <w:top w:val="nil"/>
          <w:left w:val="nil"/>
          <w:bottom w:val="nil"/>
          <w:right w:val="nil"/>
          <w:between w:val="nil"/>
        </w:pBdr>
        <w:spacing w:after="80"/>
        <w:ind w:left="227"/>
        <w:rPr>
          <w:color w:val="000000"/>
          <w:sz w:val="18"/>
          <w:szCs w:val="18"/>
          <w:lang w:val="en-GB"/>
        </w:rPr>
      </w:pPr>
      <w:r w:rsidRPr="002C29C4">
        <w:rPr>
          <w:color w:val="000000"/>
          <w:sz w:val="18"/>
          <w:szCs w:val="18"/>
          <w:lang w:val="en-GB"/>
        </w:rPr>
        <w:t xml:space="preserve">Foster, I., </w:t>
      </w:r>
      <w:proofErr w:type="spellStart"/>
      <w:r w:rsidRPr="002C29C4">
        <w:rPr>
          <w:color w:val="000000"/>
          <w:sz w:val="18"/>
          <w:szCs w:val="18"/>
          <w:lang w:val="en-GB"/>
        </w:rPr>
        <w:t>Kesselman</w:t>
      </w:r>
      <w:proofErr w:type="spellEnd"/>
      <w:r w:rsidRPr="002C29C4">
        <w:rPr>
          <w:color w:val="000000"/>
          <w:sz w:val="18"/>
          <w:szCs w:val="18"/>
          <w:lang w:val="en-GB"/>
        </w:rPr>
        <w:t xml:space="preserve">, C., Nick, J., &amp; </w:t>
      </w:r>
      <w:proofErr w:type="spellStart"/>
      <w:r w:rsidRPr="002C29C4">
        <w:rPr>
          <w:color w:val="000000"/>
          <w:sz w:val="18"/>
          <w:szCs w:val="18"/>
          <w:lang w:val="en-GB"/>
        </w:rPr>
        <w:t>Tuecke</w:t>
      </w:r>
      <w:proofErr w:type="spellEnd"/>
      <w:r w:rsidRPr="002C29C4">
        <w:rPr>
          <w:color w:val="000000"/>
          <w:sz w:val="18"/>
          <w:szCs w:val="18"/>
          <w:lang w:val="en-GB"/>
        </w:rPr>
        <w:t>, S. (2002). The physiology of the grid: An open grid services architecture for distributed systems integration (Technical report). Global Grid Forum.</w:t>
      </w:r>
    </w:p>
    <w:p w:rsidR="00AA522A" w:rsidRPr="002C29C4" w:rsidRDefault="00201019">
      <w:pPr>
        <w:pBdr>
          <w:top w:val="nil"/>
          <w:left w:val="nil"/>
          <w:bottom w:val="nil"/>
          <w:right w:val="nil"/>
          <w:between w:val="nil"/>
        </w:pBdr>
        <w:spacing w:after="80"/>
        <w:ind w:left="227"/>
        <w:rPr>
          <w:color w:val="000000"/>
          <w:sz w:val="18"/>
          <w:szCs w:val="18"/>
          <w:lang w:val="en-GB"/>
        </w:rPr>
      </w:pPr>
      <w:r w:rsidRPr="002C29C4">
        <w:rPr>
          <w:color w:val="000000"/>
          <w:sz w:val="18"/>
          <w:szCs w:val="18"/>
          <w:lang w:val="en-GB"/>
        </w:rPr>
        <w:t xml:space="preserve">National </w:t>
      </w:r>
      <w:proofErr w:type="spellStart"/>
      <w:r w:rsidRPr="002C29C4">
        <w:rPr>
          <w:color w:val="000000"/>
          <w:sz w:val="18"/>
          <w:szCs w:val="18"/>
          <w:lang w:val="en-GB"/>
        </w:rPr>
        <w:t>Center</w:t>
      </w:r>
      <w:proofErr w:type="spellEnd"/>
      <w:r w:rsidRPr="002C29C4">
        <w:rPr>
          <w:color w:val="000000"/>
          <w:sz w:val="18"/>
          <w:szCs w:val="18"/>
          <w:lang w:val="en-GB"/>
        </w:rPr>
        <w:t xml:space="preserve"> for Biotechnology Information.</w:t>
      </w:r>
      <w:r w:rsidRPr="002C29C4">
        <w:rPr>
          <w:color w:val="000000"/>
          <w:sz w:val="18"/>
          <w:szCs w:val="18"/>
          <w:lang w:val="en-GB"/>
        </w:rPr>
        <w:t xml:space="preserve"> (</w:t>
      </w:r>
      <w:proofErr w:type="spellStart"/>
      <w:r w:rsidRPr="002C29C4">
        <w:rPr>
          <w:color w:val="000000"/>
          <w:sz w:val="18"/>
          <w:szCs w:val="18"/>
          <w:lang w:val="en-GB"/>
        </w:rPr>
        <w:t>n.d.</w:t>
      </w:r>
      <w:proofErr w:type="spellEnd"/>
      <w:r w:rsidRPr="002C29C4">
        <w:rPr>
          <w:color w:val="000000"/>
          <w:sz w:val="18"/>
          <w:szCs w:val="18"/>
          <w:lang w:val="en-GB"/>
        </w:rPr>
        <w:t>). Retrieved March 15, 2024, from http://www.ncbi.nlm.nih.gov</w:t>
      </w:r>
    </w:p>
    <w:p w:rsidR="00AA522A" w:rsidRPr="002C29C4" w:rsidRDefault="00AA522A">
      <w:pPr>
        <w:rPr>
          <w:lang w:val="en-GB"/>
        </w:rPr>
      </w:pPr>
    </w:p>
    <w:sectPr w:rsidR="00AA522A" w:rsidRPr="002C29C4">
      <w:headerReference w:type="even" r:id="rId9"/>
      <w:headerReference w:type="default" r:id="rId10"/>
      <w:pgSz w:w="11906" w:h="16838"/>
      <w:pgMar w:top="2948" w:right="2494" w:bottom="2948" w:left="2494" w:header="2381" w:footer="232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019" w:rsidRDefault="00201019">
      <w:pPr>
        <w:spacing w:after="0" w:line="240" w:lineRule="auto"/>
      </w:pPr>
      <w:r>
        <w:separator/>
      </w:r>
    </w:p>
  </w:endnote>
  <w:endnote w:type="continuationSeparator" w:id="0">
    <w:p w:rsidR="00201019" w:rsidRDefault="00201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5B3F2DCF-7575-425B-98D1-FD850EDD701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04D0684-8D7A-47D4-A1A5-BBB0905A0865}"/>
    <w:embedBold r:id="rId3" w:fontKey="{58C00276-A6E1-44CC-B052-E66375F2EA8B}"/>
    <w:embedItalic r:id="rId4" w:fontKey="{221BE29C-6559-4D77-A7DC-9DFF6C0FB245}"/>
  </w:font>
  <w:font w:name="Courier">
    <w:panose1 w:val="02070409020205020404"/>
    <w:charset w:val="00"/>
    <w:family w:val="auto"/>
    <w:pitch w:val="default"/>
  </w:font>
  <w:font w:name="Georgia">
    <w:panose1 w:val="02040502050405020303"/>
    <w:charset w:val="00"/>
    <w:family w:val="roman"/>
    <w:pitch w:val="variable"/>
    <w:sig w:usb0="00000287" w:usb1="00000000" w:usb2="00000000" w:usb3="00000000" w:csb0="0000009F" w:csb1="00000000"/>
    <w:embedItalic r:id="rId5" w:fontKey="{6B745E95-FC75-43A0-A63C-4B55E964AC95}"/>
  </w:font>
  <w:font w:name="Cambria Math">
    <w:panose1 w:val="02040503050406030204"/>
    <w:charset w:val="00"/>
    <w:family w:val="roman"/>
    <w:pitch w:val="variable"/>
    <w:sig w:usb0="E00006FF" w:usb1="420024FF" w:usb2="02000000" w:usb3="00000000" w:csb0="0000019F" w:csb1="00000000"/>
    <w:embedRegular r:id="rId6" w:fontKey="{2C53B28A-8A06-42C0-BE51-B95FFAC71A41}"/>
    <w:embedItalic r:id="rId7" w:fontKey="{C652685E-CF61-4BC2-8EF9-DAA8958004E6}"/>
  </w:font>
  <w:font w:name="Calibri Light">
    <w:panose1 w:val="020F0302020204030204"/>
    <w:charset w:val="00"/>
    <w:family w:val="swiss"/>
    <w:pitch w:val="variable"/>
    <w:sig w:usb0="E4002EFF" w:usb1="C200247B" w:usb2="00000009" w:usb3="00000000" w:csb0="000001FF" w:csb1="00000000"/>
    <w:embedRegular r:id="rId8" w:fontKey="{55C3ECB0-D961-4793-BE57-535407D043B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019" w:rsidRDefault="00201019">
      <w:pPr>
        <w:spacing w:after="0" w:line="240" w:lineRule="auto"/>
      </w:pPr>
      <w:r>
        <w:separator/>
      </w:r>
    </w:p>
  </w:footnote>
  <w:footnote w:type="continuationSeparator" w:id="0">
    <w:p w:rsidR="00201019" w:rsidRDefault="002010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22A" w:rsidRDefault="00201019">
    <w:r>
      <w:fldChar w:fldCharType="begin"/>
    </w:r>
    <w:r>
      <w:instrText>PAGE</w:instrText>
    </w:r>
    <w:r w:rsidR="002C29C4">
      <w:fldChar w:fldCharType="separate"/>
    </w:r>
    <w:r w:rsidR="002C29C4">
      <w:rPr>
        <w:noProof/>
      </w:rPr>
      <w:t>6</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22A" w:rsidRDefault="00201019">
    <w:pPr>
      <w:jc w:val="right"/>
    </w:pPr>
    <w:r>
      <w:fldChar w:fldCharType="begin"/>
    </w:r>
    <w:r>
      <w:instrText>PAGE</w:instrText>
    </w:r>
    <w:r w:rsidR="002C29C4">
      <w:fldChar w:fldCharType="separate"/>
    </w:r>
    <w:r w:rsidR="002C29C4">
      <w:rPr>
        <w:noProof/>
      </w:rP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F3FCF"/>
    <w:multiLevelType w:val="multilevel"/>
    <w:tmpl w:val="747060BC"/>
    <w:lvl w:ilvl="0">
      <w:start w:val="1"/>
      <w:numFmt w:val="decimal"/>
      <w:lvlText w:val="%1."/>
      <w:lvlJc w:val="right"/>
      <w:pPr>
        <w:ind w:left="227" w:hanging="57"/>
      </w:pPr>
    </w:lvl>
    <w:lvl w:ilvl="1">
      <w:start w:val="1"/>
      <w:numFmt w:val="lowerLetter"/>
      <w:lvlText w:val="%2."/>
      <w:lvlJc w:val="left"/>
      <w:pPr>
        <w:ind w:left="454" w:hanging="227"/>
      </w:pPr>
    </w:lvl>
    <w:lvl w:ilvl="2">
      <w:start w:val="1"/>
      <w:numFmt w:val="decimal"/>
      <w:lvlText w:val="(%3)"/>
      <w:lvlJc w:val="left"/>
      <w:pPr>
        <w:ind w:left="794" w:hanging="339"/>
      </w:pPr>
    </w:lvl>
    <w:lvl w:ilvl="3">
      <w:start w:val="1"/>
      <w:numFmt w:val="lowerRoman"/>
      <w:lvlText w:val="%4."/>
      <w:lvlJc w:val="left"/>
      <w:pPr>
        <w:ind w:left="1077" w:hanging="283"/>
      </w:pPr>
    </w:lvl>
    <w:lvl w:ilvl="4">
      <w:start w:val="1"/>
      <w:numFmt w:val="lowerLetter"/>
      <w:lvlText w:val="(%5)"/>
      <w:lvlJc w:val="left"/>
      <w:pPr>
        <w:ind w:left="1360" w:hanging="283"/>
      </w:pPr>
    </w:lvl>
    <w:lvl w:ilvl="5">
      <w:start w:val="1"/>
      <w:numFmt w:val="upperLetter"/>
      <w:lvlText w:val="%6."/>
      <w:lvlJc w:val="left"/>
      <w:pPr>
        <w:ind w:left="1700" w:hanging="34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99855D0"/>
    <w:multiLevelType w:val="multilevel"/>
    <w:tmpl w:val="B47CB1E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4E31435"/>
    <w:multiLevelType w:val="multilevel"/>
    <w:tmpl w:val="F4A4DA92"/>
    <w:lvl w:ilvl="0">
      <w:start w:val="1"/>
      <w:numFmt w:val="decimal"/>
      <w:pStyle w:val="dashitem"/>
      <w:lvlText w:val="%1."/>
      <w:lvlJc w:val="right"/>
      <w:pPr>
        <w:ind w:left="227" w:hanging="57"/>
      </w:pPr>
    </w:lvl>
    <w:lvl w:ilvl="1">
      <w:start w:val="1"/>
      <w:numFmt w:val="lowerLetter"/>
      <w:lvlText w:val="%2."/>
      <w:lvlJc w:val="left"/>
      <w:pPr>
        <w:ind w:left="454" w:hanging="227"/>
      </w:pPr>
    </w:lvl>
    <w:lvl w:ilvl="2">
      <w:start w:val="1"/>
      <w:numFmt w:val="decimal"/>
      <w:lvlText w:val="(%3)"/>
      <w:lvlJc w:val="left"/>
      <w:pPr>
        <w:ind w:left="794" w:hanging="339"/>
      </w:pPr>
    </w:lvl>
    <w:lvl w:ilvl="3">
      <w:start w:val="1"/>
      <w:numFmt w:val="lowerRoman"/>
      <w:lvlText w:val="%4."/>
      <w:lvlJc w:val="left"/>
      <w:pPr>
        <w:ind w:left="1077" w:hanging="283"/>
      </w:pPr>
    </w:lvl>
    <w:lvl w:ilvl="4">
      <w:start w:val="1"/>
      <w:numFmt w:val="lowerLetter"/>
      <w:lvlText w:val="(%5)"/>
      <w:lvlJc w:val="left"/>
      <w:pPr>
        <w:ind w:left="1360" w:hanging="283"/>
      </w:pPr>
    </w:lvl>
    <w:lvl w:ilvl="5">
      <w:start w:val="1"/>
      <w:numFmt w:val="upperLetter"/>
      <w:lvlText w:val="%6."/>
      <w:lvlJc w:val="left"/>
      <w:pPr>
        <w:ind w:left="1700" w:hanging="34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58A5724E"/>
    <w:multiLevelType w:val="multilevel"/>
    <w:tmpl w:val="C62030FA"/>
    <w:lvl w:ilvl="0">
      <w:start w:val="1"/>
      <w:numFmt w:val="decimal"/>
      <w:lvlText w:val="%1"/>
      <w:lvlJc w:val="left"/>
      <w:pPr>
        <w:ind w:left="567" w:hanging="567"/>
      </w:pPr>
    </w:lvl>
    <w:lvl w:ilvl="1">
      <w:start w:val="1"/>
      <w:numFmt w:val="decimal"/>
      <w:lvlText w:val="%1.%2"/>
      <w:lvlJc w:val="left"/>
      <w:pPr>
        <w:ind w:left="567" w:hanging="567"/>
      </w:pPr>
    </w:lvl>
    <w:lvl w:ilvl="2">
      <w:start w:val="1"/>
      <w:numFmt w:val="decimal"/>
      <w:lvlText w:val="%1.%2.%3"/>
      <w:lvlJc w:val="left"/>
      <w:pPr>
        <w:ind w:left="851" w:hanging="851"/>
      </w:pPr>
    </w:lvl>
    <w:lvl w:ilvl="3">
      <w:start w:val="1"/>
      <w:numFmt w:val="decimal"/>
      <w:lvlText w:val="%1.%2.%3.%4"/>
      <w:lvlJc w:val="left"/>
      <w:pPr>
        <w:ind w:left="851" w:hanging="851"/>
      </w:pPr>
    </w:lvl>
    <w:lvl w:ilvl="4">
      <w:start w:val="1"/>
      <w:numFmt w:val="decimal"/>
      <w:lvlText w:val="%1.%2.%3.%4.%5"/>
      <w:lvlJc w:val="left"/>
      <w:pPr>
        <w:ind w:left="964" w:hanging="964"/>
      </w:pPr>
      <w:rPr>
        <w:rFonts w:ascii="Times New Roman" w:eastAsia="Times New Roman" w:hAnsi="Times New Roman" w:cs="Times New Roman"/>
        <w:b w:val="0"/>
        <w:bCs w:val="0"/>
        <w:i/>
        <w:iCs/>
        <w:sz w:val="20"/>
        <w:szCs w:val="2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7F2B6AB3"/>
    <w:multiLevelType w:val="multilevel"/>
    <w:tmpl w:val="433A773E"/>
    <w:lvl w:ilvl="0">
      <w:start w:val="1"/>
      <w:numFmt w:val="bullet"/>
      <w:pStyle w:val="bulletitem"/>
      <w:lvlText w:val="●"/>
      <w:lvlJc w:val="left"/>
      <w:pPr>
        <w:ind w:left="227" w:hanging="227"/>
      </w:pPr>
      <w:rPr>
        <w:rFonts w:ascii="Noto Sans Symbols" w:eastAsia="Noto Sans Symbols" w:hAnsi="Noto Sans Symbols" w:cs="Noto Sans Symbols"/>
      </w:rPr>
    </w:lvl>
    <w:lvl w:ilvl="1">
      <w:start w:val="1"/>
      <w:numFmt w:val="bullet"/>
      <w:lvlText w:val="─"/>
      <w:lvlJc w:val="left"/>
      <w:pPr>
        <w:ind w:left="454" w:hanging="227"/>
      </w:pPr>
      <w:rPr>
        <w:rFonts w:ascii="Times New Roman" w:eastAsia="Times New Roman" w:hAnsi="Times New Roman" w:cs="Times New Roman"/>
      </w:rPr>
    </w:lvl>
    <w:lvl w:ilvl="2">
      <w:start w:val="1"/>
      <w:numFmt w:val="bullet"/>
      <w:lvlText w:val="o"/>
      <w:lvlJc w:val="left"/>
      <w:pPr>
        <w:ind w:left="680" w:hanging="226"/>
      </w:pPr>
      <w:rPr>
        <w:rFonts w:ascii="Courier New" w:eastAsia="Courier New" w:hAnsi="Courier New" w:cs="Courier New"/>
      </w:rPr>
    </w:lvl>
    <w:lvl w:ilvl="3">
      <w:start w:val="1"/>
      <w:numFmt w:val="bullet"/>
      <w:lvlText w:val="▪"/>
      <w:lvlJc w:val="left"/>
      <w:pPr>
        <w:ind w:left="907" w:hanging="227"/>
      </w:pPr>
      <w:rPr>
        <w:rFonts w:ascii="Noto Sans Symbols" w:eastAsia="Noto Sans Symbols" w:hAnsi="Noto Sans Symbols" w:cs="Noto Sans Symbols"/>
      </w:rPr>
    </w:lvl>
    <w:lvl w:ilvl="4">
      <w:start w:val="1"/>
      <w:numFmt w:val="bullet"/>
      <w:lvlText w:val="o"/>
      <w:lvlJc w:val="left"/>
      <w:pPr>
        <w:ind w:left="1134" w:hanging="227"/>
      </w:pPr>
      <w:rPr>
        <w:rFonts w:ascii="Courier New" w:eastAsia="Courier New" w:hAnsi="Courier New" w:cs="Courier New"/>
      </w:rPr>
    </w:lvl>
    <w:lvl w:ilvl="5">
      <w:start w:val="1"/>
      <w:numFmt w:val="bullet"/>
      <w:lvlText w:val="▪"/>
      <w:lvlJc w:val="left"/>
      <w:pPr>
        <w:ind w:left="1361" w:hanging="227"/>
      </w:pPr>
      <w:rPr>
        <w:rFonts w:ascii="Noto Sans Symbols" w:eastAsia="Noto Sans Symbols" w:hAnsi="Noto Sans Symbols" w:cs="Noto Sans Symbols"/>
      </w:rPr>
    </w:lvl>
    <w:lvl w:ilvl="6">
      <w:start w:val="1"/>
      <w:numFmt w:val="bullet"/>
      <w:lvlText w:val="●"/>
      <w:lvlJc w:val="left"/>
      <w:pPr>
        <w:ind w:left="1588" w:hanging="226"/>
      </w:pPr>
      <w:rPr>
        <w:rFonts w:ascii="Noto Sans Symbols" w:eastAsia="Noto Sans Symbols" w:hAnsi="Noto Sans Symbols" w:cs="Noto Sans Symbols"/>
      </w:rPr>
    </w:lvl>
    <w:lvl w:ilvl="7">
      <w:start w:val="1"/>
      <w:numFmt w:val="bullet"/>
      <w:lvlText w:val="o"/>
      <w:lvlJc w:val="left"/>
      <w:pPr>
        <w:ind w:left="1814" w:hanging="226"/>
      </w:pPr>
      <w:rPr>
        <w:rFonts w:ascii="Courier New" w:eastAsia="Courier New" w:hAnsi="Courier New" w:cs="Courier New"/>
      </w:rPr>
    </w:lvl>
    <w:lvl w:ilvl="8">
      <w:start w:val="1"/>
      <w:numFmt w:val="bullet"/>
      <w:lvlText w:val="▪"/>
      <w:lvlJc w:val="left"/>
      <w:pPr>
        <w:ind w:left="2041" w:hanging="227"/>
      </w:pPr>
      <w:rPr>
        <w:rFonts w:ascii="Noto Sans Symbols" w:eastAsia="Noto Sans Symbols" w:hAnsi="Noto Sans Symbols" w:cs="Noto Sans Symbols"/>
      </w:rPr>
    </w:lvl>
  </w:abstractNum>
  <w:num w:numId="1">
    <w:abstractNumId w:val="4"/>
  </w:num>
  <w:num w:numId="2">
    <w:abstractNumId w:val="0"/>
  </w:num>
  <w:num w:numId="3">
    <w:abstractNumId w:val="2"/>
  </w:num>
  <w:num w:numId="4">
    <w:abstractNumId w:val="3"/>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22A"/>
    <w:rsid w:val="00201019"/>
    <w:rsid w:val="002C29C4"/>
    <w:rsid w:val="00AA52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728CD"/>
  <w15:docId w15:val="{95762745-3DCC-4474-BE63-A21B4BC50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0">
    <w:name w:val="heading 1"/>
    <w:basedOn w:val="Normal"/>
    <w:next w:val="Normal"/>
    <w:pPr>
      <w:keepNext/>
      <w:keepLines/>
      <w:spacing w:before="360" w:after="240"/>
      <w:ind w:left="567" w:hanging="567"/>
      <w:outlineLvl w:val="0"/>
    </w:pPr>
    <w:rPr>
      <w:b/>
      <w:bCs/>
      <w:sz w:val="24"/>
      <w:szCs w:val="24"/>
    </w:rPr>
  </w:style>
  <w:style w:type="paragraph" w:styleId="Heading20">
    <w:name w:val="heading 2"/>
    <w:basedOn w:val="Normal"/>
    <w:next w:val="Normal"/>
    <w:pPr>
      <w:keepNext/>
      <w:keepLines/>
      <w:spacing w:before="360"/>
      <w:ind w:left="567" w:hanging="567"/>
      <w:outlineLvl w:val="1"/>
    </w:pPr>
    <w:rPr>
      <w:b/>
      <w:bCs/>
    </w:rPr>
  </w:style>
  <w:style w:type="paragraph" w:styleId="Heading3">
    <w:name w:val="heading 3"/>
    <w:basedOn w:val="Normal"/>
    <w:next w:val="Normal"/>
    <w:pPr>
      <w:spacing w:before="360"/>
      <w:outlineLvl w:val="2"/>
    </w:pPr>
  </w:style>
  <w:style w:type="paragraph" w:styleId="Heading4">
    <w:name w:val="heading 4"/>
    <w:basedOn w:val="Normal"/>
    <w:next w:val="Normal"/>
    <w:pPr>
      <w:spacing w:before="240"/>
      <w:outlineLvl w:val="3"/>
    </w:p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customStyle="1" w:styleId="address">
    <w:name w:val="address"/>
    <w:basedOn w:val="Normal"/>
    <w:pPr>
      <w:spacing w:after="200" w:line="220" w:lineRule="atLeast"/>
      <w:contextualSpacing/>
      <w:jc w:val="center"/>
    </w:pPr>
    <w:rPr>
      <w:sz w:val="18"/>
    </w:rPr>
  </w:style>
  <w:style w:type="numbering" w:customStyle="1" w:styleId="arabnumitem">
    <w:name w:val="arabnumitem"/>
    <w:basedOn w:val="NoList"/>
  </w:style>
  <w:style w:type="paragraph" w:customStyle="1" w:styleId="author">
    <w:name w:val="author"/>
    <w:basedOn w:val="Normal"/>
    <w:next w:val="address"/>
    <w:pPr>
      <w:spacing w:after="200" w:line="220" w:lineRule="atLeast"/>
      <w:jc w:val="center"/>
    </w:pPr>
  </w:style>
  <w:style w:type="paragraph" w:customStyle="1" w:styleId="bulletitem">
    <w:name w:val="bulletitem"/>
    <w:basedOn w:val="Normal"/>
    <w:pPr>
      <w:numPr>
        <w:numId w:val="1"/>
      </w:numPr>
      <w:spacing w:before="160"/>
      <w:contextualSpacing/>
    </w:pPr>
  </w:style>
  <w:style w:type="paragraph" w:customStyle="1" w:styleId="dashitem">
    <w:name w:val="dashitem"/>
    <w:basedOn w:val="Normal"/>
    <w:pPr>
      <w:numPr>
        <w:numId w:val="3"/>
      </w:numPr>
      <w:spacing w:before="160"/>
      <w:contextualSpacing/>
    </w:pPr>
  </w:style>
  <w:style w:type="character" w:customStyle="1" w:styleId="e-mail">
    <w:name w:val="e-mail"/>
    <w:basedOn w:val="DefaultParagraphFont"/>
    <w:rPr>
      <w:rFonts w:ascii="Courier" w:hAnsi="Courier" w:cs="Courier"/>
      <w:noProof/>
    </w:rPr>
  </w:style>
  <w:style w:type="paragraph" w:customStyle="1" w:styleId="equation">
    <w:name w:val="equation"/>
    <w:basedOn w:val="Normal"/>
    <w:next w:val="Normal"/>
    <w:pPr>
      <w:tabs>
        <w:tab w:val="center" w:pos="3289"/>
        <w:tab w:val="right" w:pos="6917"/>
      </w:tabs>
      <w:spacing w:before="160"/>
    </w:pPr>
  </w:style>
  <w:style w:type="paragraph" w:customStyle="1" w:styleId="figurecaption">
    <w:name w:val="figurecaption"/>
    <w:basedOn w:val="Normal"/>
    <w:next w:val="Normal"/>
    <w:pPr>
      <w:keepNext/>
      <w:keepLines/>
      <w:spacing w:before="120" w:after="240" w:line="220" w:lineRule="atLeast"/>
      <w:jc w:val="center"/>
    </w:pPr>
    <w:rPr>
      <w:sz w:val="18"/>
    </w:rPr>
  </w:style>
  <w:style w:type="character" w:styleId="FootnoteReference">
    <w:name w:val="footnote reference"/>
    <w:basedOn w:val="DefaultParagraphFont"/>
    <w:semiHidden/>
    <w:unhideWhenUsed/>
    <w:rPr>
      <w:position w:val="0"/>
      <w:vertAlign w:val="superscript"/>
    </w:rPr>
  </w:style>
  <w:style w:type="paragraph" w:styleId="Footer">
    <w:name w:val="footer"/>
    <w:basedOn w:val="Normal"/>
    <w:semiHidden/>
    <w:unhideWhenUsed/>
  </w:style>
  <w:style w:type="paragraph" w:customStyle="1" w:styleId="heading1">
    <w:name w:val="heading1"/>
    <w:basedOn w:val="Normal"/>
    <w:next w:val="p1a"/>
    <w:qFormat/>
    <w:pPr>
      <w:keepNext/>
      <w:keepLines/>
      <w:numPr>
        <w:numId w:val="6"/>
      </w:numPr>
      <w:suppressAutoHyphens/>
      <w:spacing w:before="360" w:after="240" w:line="300" w:lineRule="atLeast"/>
      <w:ind w:right="567"/>
      <w:outlineLvl w:val="0"/>
    </w:pPr>
    <w:rPr>
      <w:b/>
      <w:sz w:val="24"/>
    </w:rPr>
  </w:style>
  <w:style w:type="paragraph" w:customStyle="1" w:styleId="heading2">
    <w:name w:val="heading2"/>
    <w:basedOn w:val="Normal"/>
    <w:next w:val="p1a"/>
    <w:qFormat/>
    <w:pPr>
      <w:keepNext/>
      <w:keepLines/>
      <w:numPr>
        <w:ilvl w:val="1"/>
        <w:numId w:val="6"/>
      </w:numPr>
      <w:suppressAutoHyphens/>
      <w:spacing w:before="360"/>
      <w:ind w:right="567"/>
      <w:outlineLvl w:val="1"/>
    </w:pPr>
    <w:rPr>
      <w:b/>
      <w:sz w:val="20"/>
    </w:rPr>
  </w:style>
  <w:style w:type="character" w:customStyle="1" w:styleId="heading30">
    <w:name w:val="heading3"/>
    <w:basedOn w:val="DefaultParagraphFont"/>
    <w:rPr>
      <w:b/>
    </w:rPr>
  </w:style>
  <w:style w:type="character" w:customStyle="1" w:styleId="heading40">
    <w:name w:val="heading4"/>
    <w:basedOn w:val="DefaultParagraphFont"/>
    <w:rPr>
      <w:i/>
    </w:rPr>
  </w:style>
  <w:style w:type="numbering" w:customStyle="1" w:styleId="headings">
    <w:name w:val="headings"/>
    <w:basedOn w:val="arabnumitem"/>
  </w:style>
  <w:style w:type="character" w:styleId="Hyperlink">
    <w:name w:val="Hyperlink"/>
    <w:basedOn w:val="DefaultParagraphFont"/>
    <w:semiHidden/>
    <w:unhideWhenUsed/>
    <w:rPr>
      <w:color w:val="auto"/>
      <w:u w:val="none"/>
    </w:rPr>
  </w:style>
  <w:style w:type="paragraph" w:customStyle="1" w:styleId="image">
    <w:name w:val="image"/>
    <w:basedOn w:val="Normal"/>
    <w:next w:val="Normal"/>
    <w:pPr>
      <w:spacing w:before="240" w:after="120"/>
      <w:jc w:val="center"/>
    </w:pPr>
  </w:style>
  <w:style w:type="numbering" w:customStyle="1" w:styleId="itemization1">
    <w:name w:val="itemization1"/>
    <w:basedOn w:val="NoList"/>
  </w:style>
  <w:style w:type="numbering" w:customStyle="1" w:styleId="itemization2">
    <w:name w:val="itemization2"/>
    <w:basedOn w:val="NoList"/>
  </w:style>
  <w:style w:type="paragraph" w:customStyle="1" w:styleId="keywords">
    <w:name w:val="keywords"/>
    <w:basedOn w:val="abstract"/>
    <w:next w:val="heading1"/>
    <w:pPr>
      <w:spacing w:before="220"/>
    </w:pPr>
  </w:style>
  <w:style w:type="paragraph" w:styleId="Header">
    <w:name w:val="header"/>
    <w:basedOn w:val="Normal"/>
    <w:semiHidden/>
    <w:unhideWhenUsed/>
    <w:pPr>
      <w:tabs>
        <w:tab w:val="center" w:pos="4536"/>
        <w:tab w:val="right" w:pos="9072"/>
      </w:tabs>
    </w:pPr>
    <w:rPr>
      <w:sz w:val="18"/>
      <w:szCs w:val="18"/>
    </w:rPr>
  </w:style>
  <w:style w:type="paragraph" w:customStyle="1" w:styleId="numitem">
    <w:name w:val="numitem"/>
    <w:basedOn w:val="Normal"/>
    <w:pPr>
      <w:tabs>
        <w:tab w:val="num" w:pos="720"/>
      </w:tabs>
      <w:spacing w:before="160"/>
      <w:ind w:left="720" w:hanging="720"/>
      <w:contextualSpacing/>
    </w:pPr>
  </w:style>
  <w:style w:type="paragraph" w:customStyle="1" w:styleId="p1a">
    <w:name w:val="p1a"/>
    <w:basedOn w:val="Normal"/>
    <w:next w:val="Normal"/>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contextualSpacing/>
    </w:pPr>
    <w:rPr>
      <w:rFonts w:ascii="Courier" w:hAnsi="Courier" w:cs="Courier"/>
    </w:rPr>
  </w:style>
  <w:style w:type="paragraph" w:customStyle="1" w:styleId="referenceitem">
    <w:name w:val="referenceitem"/>
    <w:basedOn w:val="Normal"/>
    <w:rsid w:val="00A35A9B"/>
    <w:pPr>
      <w:spacing w:after="80" w:line="220" w:lineRule="atLeast"/>
      <w:ind w:left="227"/>
    </w:pPr>
    <w:rPr>
      <w:sz w:val="18"/>
    </w:rPr>
  </w:style>
  <w:style w:type="numbering" w:customStyle="1" w:styleId="referencelist">
    <w:name w:val="referencelist"/>
    <w:basedOn w:val="NoList"/>
    <w:semiHidden/>
  </w:style>
  <w:style w:type="paragraph" w:customStyle="1" w:styleId="runninghead-left">
    <w:name w:val="running head - left"/>
    <w:basedOn w:val="Normal"/>
    <w:rPr>
      <w:sz w:val="18"/>
      <w:szCs w:val="18"/>
    </w:rPr>
  </w:style>
  <w:style w:type="paragraph" w:customStyle="1" w:styleId="runninghead-right">
    <w:name w:val="running head - right"/>
    <w:basedOn w:val="Normal"/>
    <w:pPr>
      <w:jc w:val="right"/>
    </w:pPr>
    <w:rPr>
      <w:bCs/>
      <w:sz w:val="18"/>
      <w:szCs w:val="18"/>
    </w:rPr>
  </w:style>
  <w:style w:type="character" w:styleId="PageNumber">
    <w:name w:val="page number"/>
    <w:basedOn w:val="DefaultParagraphFont"/>
    <w:semiHidden/>
    <w:unhideWhenUsed/>
    <w:rPr>
      <w:sz w:val="18"/>
    </w:rPr>
  </w:style>
  <w:style w:type="paragraph" w:customStyle="1" w:styleId="papertitle">
    <w:name w:val="papertitle"/>
    <w:basedOn w:val="Normal"/>
    <w:next w:val="author"/>
    <w:pPr>
      <w:keepNext/>
      <w:keepLines/>
      <w:suppressAutoHyphens/>
      <w:spacing w:after="480" w:line="360" w:lineRule="atLeast"/>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jc w:val="center"/>
    </w:pPr>
    <w:rPr>
      <w:sz w:val="18"/>
    </w:rPr>
  </w:style>
  <w:style w:type="character" w:customStyle="1" w:styleId="url">
    <w:name w:val="url"/>
    <w:basedOn w:val="DefaultParagraphFont"/>
    <w:rPr>
      <w:rFonts w:ascii="Courier" w:hAnsi="Courier" w:cs="Courier"/>
      <w:noProof/>
    </w:rPr>
  </w:style>
  <w:style w:type="character" w:customStyle="1" w:styleId="ORCID">
    <w:name w:val="ORCID"/>
    <w:basedOn w:val="DefaultParagraphFont"/>
    <w:rPr>
      <w:noProof/>
      <w:position w:val="0"/>
      <w:vertAlign w:val="superscript"/>
    </w:rPr>
  </w:style>
  <w:style w:type="paragraph" w:styleId="FootnoteText">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character" w:styleId="PlaceholderText">
    <w:name w:val="Placeholder Text"/>
    <w:basedOn w:val="DefaultParagraphFont"/>
    <w:semiHidden/>
    <w:rsid w:val="00DE3593"/>
    <w:rPr>
      <w:color w:val="666666"/>
    </w:rPr>
  </w:style>
  <w:style w:type="paragraph" w:customStyle="1" w:styleId="abstract">
    <w:name w:val="abstract"/>
    <w:basedOn w:val="Normal"/>
    <w:link w:val="abstractCar"/>
    <w:rsid w:val="00353DDB"/>
    <w:pPr>
      <w:spacing w:before="600" w:after="360" w:line="220" w:lineRule="atLeast"/>
      <w:ind w:left="567" w:right="567"/>
    </w:pPr>
    <w:rPr>
      <w:rFonts w:ascii="Times New Roman" w:eastAsia="Times New Roman" w:hAnsi="Times New Roman" w:cs="Times New Roman"/>
      <w:sz w:val="18"/>
      <w:szCs w:val="20"/>
      <w:lang w:val="en-US"/>
    </w:rPr>
  </w:style>
  <w:style w:type="character" w:customStyle="1" w:styleId="abstractCar">
    <w:name w:val="abstract Car"/>
    <w:basedOn w:val="DefaultParagraphFont"/>
    <w:link w:val="abstract"/>
    <w:rsid w:val="00353DDB"/>
    <w:rPr>
      <w:sz w:val="18"/>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1" Type="http://schemas.openxmlformats.org/officeDocument/2006/relationships/oleObject" Target="file:///\\DISKSTATION\backup\Springer\LNCS%20Templates\2016\Te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0778005922154201E-2"/>
          <c:y val="5.1400554097404502E-2"/>
          <c:w val="0.94049952150364002"/>
          <c:h val="0.83261956838728501"/>
        </c:manualLayout>
      </c:layout>
      <c:lineChart>
        <c:grouping val="standard"/>
        <c:varyColors val="0"/>
        <c:ser>
          <c:idx val="0"/>
          <c:order val="0"/>
          <c:tx>
            <c:strRef>
              <c:f>Tabelle1!$B$1</c:f>
              <c:strCache>
                <c:ptCount val="1"/>
                <c:pt idx="0">
                  <c:v>Data A</c:v>
                </c:pt>
              </c:strCache>
            </c:strRef>
          </c:tx>
          <c:spPr>
            <a:ln w="12700">
              <a:solidFill>
                <a:schemeClr val="tx1"/>
              </a:solidFill>
              <a:prstDash val="sysDash"/>
            </a:ln>
          </c:spPr>
          <c:marker>
            <c:symbol val="none"/>
          </c:marker>
          <c:dPt>
            <c:idx val="9"/>
            <c:bubble3D val="0"/>
            <c:extLst>
              <c:ext xmlns:c16="http://schemas.microsoft.com/office/drawing/2014/chart" uri="{C3380CC4-5D6E-409C-BE32-E72D297353CC}">
                <c16:uniqueId val="{00000000-C17D-DB46-BC52-C72654DBA2B7}"/>
              </c:ext>
            </c:extLst>
          </c:dPt>
          <c:cat>
            <c:numRef>
              <c:f>Tabelle1!$A$2:$A$32</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Tabelle1!$B$2:$B$32</c:f>
              <c:numCache>
                <c:formatCode>General</c:formatCode>
                <c:ptCount val="31"/>
                <c:pt idx="0">
                  <c:v>0</c:v>
                </c:pt>
                <c:pt idx="1">
                  <c:v>2</c:v>
                </c:pt>
                <c:pt idx="2">
                  <c:v>1</c:v>
                </c:pt>
                <c:pt idx="3">
                  <c:v>3</c:v>
                </c:pt>
                <c:pt idx="4">
                  <c:v>4</c:v>
                </c:pt>
                <c:pt idx="5">
                  <c:v>5</c:v>
                </c:pt>
                <c:pt idx="6">
                  <c:v>7</c:v>
                </c:pt>
                <c:pt idx="7">
                  <c:v>3</c:v>
                </c:pt>
                <c:pt idx="8">
                  <c:v>5</c:v>
                </c:pt>
                <c:pt idx="9">
                  <c:v>4</c:v>
                </c:pt>
                <c:pt idx="10">
                  <c:v>8</c:v>
                </c:pt>
                <c:pt idx="11">
                  <c:v>10</c:v>
                </c:pt>
                <c:pt idx="12">
                  <c:v>11</c:v>
                </c:pt>
                <c:pt idx="13">
                  <c:v>13</c:v>
                </c:pt>
                <c:pt idx="14">
                  <c:v>16</c:v>
                </c:pt>
                <c:pt idx="15">
                  <c:v>15</c:v>
                </c:pt>
                <c:pt idx="16">
                  <c:v>12</c:v>
                </c:pt>
                <c:pt idx="17">
                  <c:v>18</c:v>
                </c:pt>
                <c:pt idx="18">
                  <c:v>19</c:v>
                </c:pt>
                <c:pt idx="19">
                  <c:v>21</c:v>
                </c:pt>
                <c:pt idx="20">
                  <c:v>8</c:v>
                </c:pt>
                <c:pt idx="21">
                  <c:v>12</c:v>
                </c:pt>
                <c:pt idx="22">
                  <c:v>11</c:v>
                </c:pt>
                <c:pt idx="23">
                  <c:v>9</c:v>
                </c:pt>
                <c:pt idx="24">
                  <c:v>13</c:v>
                </c:pt>
                <c:pt idx="25">
                  <c:v>19</c:v>
                </c:pt>
                <c:pt idx="26">
                  <c:v>26</c:v>
                </c:pt>
                <c:pt idx="27">
                  <c:v>31</c:v>
                </c:pt>
                <c:pt idx="28">
                  <c:v>32</c:v>
                </c:pt>
                <c:pt idx="29">
                  <c:v>39</c:v>
                </c:pt>
                <c:pt idx="30">
                  <c:v>45</c:v>
                </c:pt>
              </c:numCache>
            </c:numRef>
          </c:val>
          <c:smooth val="0"/>
          <c:extLst>
            <c:ext xmlns:c16="http://schemas.microsoft.com/office/drawing/2014/chart" uri="{C3380CC4-5D6E-409C-BE32-E72D297353CC}">
              <c16:uniqueId val="{00000001-C17D-DB46-BC52-C72654DBA2B7}"/>
            </c:ext>
          </c:extLst>
        </c:ser>
        <c:ser>
          <c:idx val="1"/>
          <c:order val="1"/>
          <c:tx>
            <c:strRef>
              <c:f>Tabelle1!$C$1</c:f>
              <c:strCache>
                <c:ptCount val="1"/>
                <c:pt idx="0">
                  <c:v>Data B</c:v>
                </c:pt>
              </c:strCache>
            </c:strRef>
          </c:tx>
          <c:spPr>
            <a:ln w="12700"/>
          </c:spPr>
          <c:marker>
            <c:symbol val="none"/>
          </c:marker>
          <c:cat>
            <c:numRef>
              <c:f>Tabelle1!$A$2:$A$32</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Tabelle1!$C$2:$C$32</c:f>
              <c:numCache>
                <c:formatCode>General</c:formatCode>
                <c:ptCount val="31"/>
                <c:pt idx="0">
                  <c:v>16</c:v>
                </c:pt>
                <c:pt idx="1">
                  <c:v>13</c:v>
                </c:pt>
                <c:pt idx="2">
                  <c:v>14</c:v>
                </c:pt>
                <c:pt idx="3">
                  <c:v>15</c:v>
                </c:pt>
                <c:pt idx="4">
                  <c:v>17</c:v>
                </c:pt>
                <c:pt idx="5">
                  <c:v>16.5</c:v>
                </c:pt>
                <c:pt idx="6">
                  <c:v>18</c:v>
                </c:pt>
                <c:pt idx="7">
                  <c:v>19.3</c:v>
                </c:pt>
                <c:pt idx="8">
                  <c:v>12.4</c:v>
                </c:pt>
                <c:pt idx="9">
                  <c:v>14.6</c:v>
                </c:pt>
                <c:pt idx="10">
                  <c:v>16.5</c:v>
                </c:pt>
                <c:pt idx="11">
                  <c:v>15.3</c:v>
                </c:pt>
                <c:pt idx="12">
                  <c:v>14</c:v>
                </c:pt>
                <c:pt idx="13">
                  <c:v>14.7</c:v>
                </c:pt>
                <c:pt idx="14">
                  <c:v>13.9</c:v>
                </c:pt>
                <c:pt idx="15">
                  <c:v>12.2</c:v>
                </c:pt>
                <c:pt idx="16">
                  <c:v>16.8</c:v>
                </c:pt>
                <c:pt idx="17">
                  <c:v>17.100000000000001</c:v>
                </c:pt>
                <c:pt idx="18">
                  <c:v>19.2</c:v>
                </c:pt>
                <c:pt idx="19">
                  <c:v>18.25</c:v>
                </c:pt>
                <c:pt idx="20">
                  <c:v>22</c:v>
                </c:pt>
                <c:pt idx="21" formatCode="#.##000_ ;\-#.##000\ ">
                  <c:v>24</c:v>
                </c:pt>
                <c:pt idx="22" formatCode="#.##000_ ;\-#.##000\ ">
                  <c:v>25</c:v>
                </c:pt>
                <c:pt idx="23" formatCode="#.##000_ ;\-#.##000\ ">
                  <c:v>23.5</c:v>
                </c:pt>
                <c:pt idx="24" formatCode="#.##000_ ;\-#.##000\ ">
                  <c:v>21</c:v>
                </c:pt>
                <c:pt idx="25" formatCode="#.##000_ ;\-#.##000\ ">
                  <c:v>16.899999999999999</c:v>
                </c:pt>
                <c:pt idx="26" formatCode="#.##000_ ;\-#.##000\ ">
                  <c:v>17.5</c:v>
                </c:pt>
                <c:pt idx="27" formatCode="#.##000_ ;\-#.##000\ ">
                  <c:v>18.2</c:v>
                </c:pt>
                <c:pt idx="28" formatCode="#.##000_ ;\-#.##000\ ">
                  <c:v>19.100000000000001</c:v>
                </c:pt>
                <c:pt idx="29" formatCode="#.##000_ ;\-#.##000\ ">
                  <c:v>14.8</c:v>
                </c:pt>
                <c:pt idx="30" formatCode="#.##000_ ;\-#.##000\ ">
                  <c:v>15.2</c:v>
                </c:pt>
              </c:numCache>
            </c:numRef>
          </c:val>
          <c:smooth val="0"/>
          <c:extLst>
            <c:ext xmlns:c16="http://schemas.microsoft.com/office/drawing/2014/chart" uri="{C3380CC4-5D6E-409C-BE32-E72D297353CC}">
              <c16:uniqueId val="{00000002-C17D-DB46-BC52-C72654DBA2B7}"/>
            </c:ext>
          </c:extLst>
        </c:ser>
        <c:dLbls>
          <c:showLegendKey val="0"/>
          <c:showVal val="0"/>
          <c:showCatName val="0"/>
          <c:showSerName val="0"/>
          <c:showPercent val="0"/>
          <c:showBubbleSize val="0"/>
        </c:dLbls>
        <c:smooth val="0"/>
        <c:axId val="-1092975632"/>
        <c:axId val="-1092973312"/>
      </c:lineChart>
      <c:catAx>
        <c:axId val="-1092975632"/>
        <c:scaling>
          <c:orientation val="minMax"/>
        </c:scaling>
        <c:delete val="0"/>
        <c:axPos val="b"/>
        <c:numFmt formatCode="General" sourceLinked="1"/>
        <c:majorTickMark val="out"/>
        <c:minorTickMark val="none"/>
        <c:tickLblPos val="nextTo"/>
        <c:crossAx val="-1092973312"/>
        <c:crosses val="autoZero"/>
        <c:auto val="1"/>
        <c:lblAlgn val="ctr"/>
        <c:lblOffset val="100"/>
        <c:tickLblSkip val="5"/>
        <c:noMultiLvlLbl val="0"/>
      </c:catAx>
      <c:valAx>
        <c:axId val="-1092973312"/>
        <c:scaling>
          <c:orientation val="minMax"/>
        </c:scaling>
        <c:delete val="0"/>
        <c:axPos val="l"/>
        <c:majorGridlines>
          <c:spPr>
            <a:ln>
              <a:noFill/>
            </a:ln>
          </c:spPr>
        </c:majorGridlines>
        <c:numFmt formatCode="General" sourceLinked="1"/>
        <c:majorTickMark val="out"/>
        <c:minorTickMark val="none"/>
        <c:tickLblPos val="nextTo"/>
        <c:crossAx val="-1092975632"/>
        <c:crossesAt val="1"/>
        <c:crossBetween val="midCat"/>
      </c:valAx>
    </c:plotArea>
    <c:legend>
      <c:legendPos val="r"/>
      <c:layout>
        <c:manualLayout>
          <c:xMode val="edge"/>
          <c:yMode val="edge"/>
          <c:x val="0.13960322214804799"/>
          <c:y val="0.16628280839894999"/>
          <c:w val="0.190301595637834"/>
          <c:h val="0.1674343832021"/>
        </c:manualLayout>
      </c:layout>
      <c:overlay val="0"/>
    </c:legend>
    <c:plotVisOnly val="1"/>
    <c:dispBlanksAs val="gap"/>
    <c:showDLblsOverMax val="0"/>
  </c:chart>
  <c:spPr>
    <a:ln>
      <a:noFill/>
    </a:ln>
  </c:spPr>
  <c:txPr>
    <a:bodyPr/>
    <a:lstStyle/>
    <a:p>
      <a:pPr>
        <a:defRPr sz="800"/>
      </a:pPr>
      <a:endParaRPr lang="es-MX"/>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cHnwrrk2BFyFF73eESa79hINzg==">CgMxLjAyDmgub2s0MnYwbnZycWdpMg5oLmV1a29reTR5MnFmNjIOaC54dTMyaGZjeHA3MzYyDmguaGdubnR6ZWlvc2ZrOAByITFzZGFmVFVhU3hYMUV4YWpqNjdqZ25tQmFwYVpXUEtOeg==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1138</Words>
  <Characters>6259</Characters>
  <Application>Microsoft Office Word</Application>
  <DocSecurity>0</DocSecurity>
  <Lines>52</Lines>
  <Paragraphs>14</Paragraphs>
  <ScaleCrop>false</ScaleCrop>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Richter</dc:creator>
  <cp:lastModifiedBy>Guillermo Ronquillo Lomeli</cp:lastModifiedBy>
  <cp:revision>2</cp:revision>
  <dcterms:created xsi:type="dcterms:W3CDTF">2025-07-01T18:33:00Z</dcterms:created>
  <dcterms:modified xsi:type="dcterms:W3CDTF">2026-08-10T16:34:00Z</dcterms:modified>
</cp:coreProperties>
</file>